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tabs>
          <w:tab w:val="left" w:pos="0" w:leader="none"/>
        </w:tabs>
        <w:rPr>
          <w:b/>
        </w:rPr>
        <w:outlineLvl w:val="0"/>
      </w:pPr>
      <w:r>
        <w:rPr>
          <w:b/>
        </w:rPr>
        <w:t xml:space="preserve">Извещение о проведении закупки в электронном магазине</w:t>
      </w:r>
      <w:r>
        <w:rPr>
          <w:b/>
        </w:rPr>
      </w:r>
      <w:r>
        <w:rPr>
          <w:b/>
        </w:rPr>
      </w:r>
    </w:p>
    <w:p>
      <w:pPr>
        <w:jc w:val="center"/>
        <w:tabs>
          <w:tab w:val="left" w:pos="0" w:leader="none"/>
          <w:tab w:val="left" w:pos="851" w:leader="none"/>
          <w:tab w:val="left" w:pos="1134" w:leader="none"/>
        </w:tabs>
        <w:rPr>
          <w:b/>
        </w:rPr>
        <w:outlineLvl w:val="0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851" w:leader="none"/>
          <w:tab w:val="left" w:pos="1134" w:leader="none"/>
        </w:tabs>
      </w:pPr>
      <w:r>
        <w:rPr>
          <w:bCs/>
          <w:iCs/>
          <w:lang w:eastAsia="ar-SA"/>
        </w:rPr>
        <w:t xml:space="preserve"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закупке в электронном магазине на </w:t>
      </w:r>
      <w:r>
        <w:rPr>
          <w:spacing w:val="-2"/>
        </w:rPr>
        <w:t xml:space="preserve">право заключения договора</w:t>
      </w:r>
      <w:r>
        <w:rPr>
          <w:spacing w:val="-2"/>
          <w:highlight w:val="white"/>
        </w:rPr>
        <w:t xml:space="preserve"> </w:t>
      </w:r>
      <w:r>
        <w:rPr>
          <w:spacing w:val="-2"/>
          <w:highlight w:val="white"/>
        </w:rPr>
        <w:t xml:space="preserve">поставки </w:t>
      </w:r>
      <w:r>
        <w:rPr>
          <w:spacing w:val="-2"/>
          <w:highlight w:val="white"/>
        </w:rPr>
        <w:t xml:space="preserve">спецодежды для защиты от ОПЗ</w:t>
      </w:r>
      <w:r>
        <w:rPr>
          <w:spacing w:val="-2"/>
          <w:highlight w:val="white"/>
        </w:rPr>
      </w:r>
      <w:r>
        <w:rPr>
          <w:spacing w:val="-2"/>
        </w:rPr>
        <w:t xml:space="preserve">, для нужд АО «Россети Сибирь Тываэнерго»</w:t>
      </w:r>
      <w:r>
        <w:rPr>
          <w:spacing w:val="-2"/>
        </w:rPr>
        <w:t xml:space="preserve"> </w:t>
      </w:r>
      <w:r>
        <w:rPr>
          <w:spacing w:val="-2"/>
        </w:rPr>
        <w:t xml:space="preserve">№ </w:t>
      </w:r>
      <w:r>
        <w:rPr>
          <w:spacing w:val="-2"/>
        </w:rPr>
        <w:t xml:space="preserve">25.2-11/7.2-0019</w:t>
      </w:r>
      <w:r>
        <w:rPr>
          <w:spacing w:val="-2"/>
        </w:rPr>
      </w:r>
      <w:r>
        <w:rPr>
          <w:spacing w:val="-2"/>
        </w:rPr>
        <w:t xml:space="preserve"> (далее – закупка в электронном магазине, закупка)</w:t>
      </w:r>
      <w:r>
        <w:t xml:space="preserve">. </w:t>
      </w:r>
      <w:r/>
    </w:p>
    <w:p>
      <w:pPr>
        <w:pStyle w:val="964"/>
        <w:numPr>
          <w:ilvl w:val="0"/>
          <w:numId w:val="3"/>
        </w:numPr>
        <w:ind w:left="0" w:firstLine="0"/>
        <w:spacing w:after="12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информация о закупке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</w:pPr>
      <w:r>
        <w:rPr>
          <w:b/>
          <w:bCs/>
        </w:rPr>
        <w:t xml:space="preserve">Способ осуществления закупки</w:t>
      </w:r>
      <w:r/>
    </w:p>
    <w:p>
      <w:pPr>
        <w:jc w:val="both"/>
        <w:spacing w:after="120"/>
        <w:tabs>
          <w:tab w:val="left" w:pos="0" w:leader="none"/>
        </w:tabs>
      </w:pPr>
      <w:r>
        <w:rPr>
          <w:bCs/>
        </w:rPr>
        <w:t xml:space="preserve">Закупка в электронном магазине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  <w:rPr>
          <w:b/>
        </w:rPr>
      </w:pPr>
      <w:r>
        <w:rPr>
          <w:b/>
          <w:bCs/>
        </w:rPr>
        <w:t xml:space="preserve">Наименование, место нахождения, почтовый адрес, адрес электронной почты, номер контактного телефона Заказчика</w:t>
      </w:r>
      <w:r>
        <w:rPr>
          <w:b/>
        </w:rPr>
      </w:r>
      <w:r>
        <w:rPr>
          <w:b/>
        </w:rPr>
      </w:r>
    </w:p>
    <w:p>
      <w:pPr>
        <w:ind w:left="0" w:right="0" w:firstLine="0"/>
      </w:pPr>
      <w:r>
        <w:t xml:space="preserve">Наименование Заказчика: Акционерное общество «Россети Сибирь Тываэнерго» (АО «Россети Сибирь Тываэнерго»).</w:t>
      </w:r>
      <w:r/>
    </w:p>
    <w:p>
      <w:pPr>
        <w:ind w:left="0" w:right="0" w:firstLine="0"/>
      </w:pPr>
      <w:r>
        <w:t xml:space="preserve">Место нахождения и почтовый адрес Заказчика: </w:t>
      </w:r>
      <w:r/>
    </w:p>
    <w:p>
      <w:pPr>
        <w:ind w:left="0" w:right="0" w:firstLine="0"/>
      </w:pPr>
      <w:r>
        <w:t xml:space="preserve">667001, г. Кызыл, ул. Рабочая 4.</w:t>
      </w:r>
      <w:r/>
    </w:p>
    <w:p>
      <w:pPr>
        <w:ind w:left="0" w:right="0" w:firstLine="0"/>
      </w:pPr>
      <w:r>
        <w:t xml:space="preserve">E-mail:  info@tv.rosseti-sib.ru</w:t>
      </w:r>
      <w:r/>
    </w:p>
    <w:p>
      <w:pPr>
        <w:ind w:left="0" w:right="0" w:firstLine="0"/>
      </w:pPr>
      <w:r>
        <w:t xml:space="preserve">Тел.:  8 (394-22) 9-85-00</w:t>
      </w:r>
      <w:r/>
    </w:p>
    <w:p>
      <w:pPr>
        <w:ind w:left="0" w:right="0" w:firstLine="0"/>
      </w:pPr>
      <w:r/>
      <w:r/>
    </w:p>
    <w:p>
      <w:pPr>
        <w:ind w:left="0" w:right="0" w:firstLine="0"/>
      </w:pPr>
      <w:r>
        <w:t xml:space="preserve">Контактные лица Заказчика: </w:t>
      </w:r>
      <w:r/>
    </w:p>
    <w:p>
      <w:pPr>
        <w:ind w:left="0" w:right="0" w:firstLine="0"/>
      </w:pPr>
      <w:r>
        <w:t xml:space="preserve">Главный специалист сектора закупок</w:t>
      </w:r>
      <w:r/>
    </w:p>
    <w:p>
      <w:pPr>
        <w:ind w:left="0" w:right="0" w:firstLine="0"/>
      </w:pPr>
      <w:r>
        <w:t xml:space="preserve">Кузнецова Надежда Алексеевна</w:t>
      </w:r>
      <w:r/>
    </w:p>
    <w:p>
      <w:pPr>
        <w:ind w:left="0" w:right="0" w:firstLine="0"/>
      </w:pPr>
      <w:r>
        <w:t xml:space="preserve">E-mail: Kuznetsova_NA@tv.rosseti-sib.ru</w:t>
      </w:r>
      <w:r/>
    </w:p>
    <w:p>
      <w:pPr>
        <w:ind w:left="0" w:right="0" w:firstLine="0"/>
      </w:pPr>
      <w:r>
        <w:t xml:space="preserve">Тел.: (39422) 9-85-44</w:t>
      </w:r>
      <w:r/>
    </w:p>
    <w:p>
      <w:pPr>
        <w:ind w:left="0" w:right="0" w:firstLine="0"/>
      </w:pPr>
      <w:r/>
      <w:r/>
    </w:p>
    <w:p>
      <w:pPr>
        <w:ind w:left="0" w:right="0" w:firstLine="0"/>
      </w:pPr>
      <w:r>
        <w:t xml:space="preserve">Специалист 2 категории сектора закупок</w:t>
      </w:r>
      <w:r/>
    </w:p>
    <w:p>
      <w:pPr>
        <w:ind w:left="0" w:right="0" w:firstLine="0"/>
      </w:pPr>
      <w:r>
        <w:t xml:space="preserve">Золотухина Вера Александровна</w:t>
      </w:r>
      <w:r/>
    </w:p>
    <w:p>
      <w:pPr>
        <w:ind w:left="0" w:right="0" w:firstLine="0"/>
      </w:pPr>
      <w:r>
        <w:t xml:space="preserve">E-mail: Zolotuhina_VA@tv.rosseti-sib.ru</w:t>
      </w:r>
      <w:r/>
    </w:p>
    <w:p>
      <w:pPr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</w:pPr>
      <w:r>
        <w:t xml:space="preserve">Тел.: (39422) 9-84-43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  <w:bCs/>
        </w:rPr>
        <w:t xml:space="preserve">Наименование, место нахождения, почтовый адрес, адрес электронной почты, номер контактного телефона Организатора закупки</w:t>
      </w:r>
      <w:r>
        <w:rPr>
          <w:b/>
        </w:rPr>
      </w:r>
      <w:r>
        <w:rPr>
          <w:b/>
        </w:rPr>
      </w:r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rPr>
          <w:i/>
        </w:rPr>
        <w:t xml:space="preserve">Заказчик является организатором закупки в электронном магазине.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Предмет договора с указанием количества поставляемого товара, объема выполняемой работы, оказываемой услуги</w:t>
      </w:r>
      <w:r>
        <w:rPr>
          <w:b/>
        </w:rPr>
      </w:r>
      <w:r>
        <w:rPr>
          <w:b/>
        </w:rPr>
      </w:r>
    </w:p>
    <w:p>
      <w:pPr>
        <w:pStyle w:val="1155"/>
        <w:jc w:val="both"/>
        <w:tabs>
          <w:tab w:val="left" w:pos="0" w:leader="none"/>
        </w:tabs>
        <w:rPr>
          <w:b/>
        </w:rPr>
      </w:pPr>
      <w:r>
        <w:rPr>
          <w:b/>
          <w:bCs/>
        </w:rPr>
        <w:t xml:space="preserve">Лот № 1 </w:t>
      </w:r>
      <w:r>
        <w:rPr>
          <w:b/>
        </w:rPr>
      </w:r>
      <w:r>
        <w:rPr>
          <w:b/>
        </w:rPr>
      </w:r>
    </w:p>
    <w:p>
      <w:pPr>
        <w:pStyle w:val="1155"/>
        <w:jc w:val="both"/>
        <w:tabs>
          <w:tab w:val="left" w:pos="0" w:leader="none"/>
        </w:tabs>
        <w:rPr>
          <w:highlight w:val="white"/>
        </w:rPr>
      </w:pPr>
      <w:r>
        <w:rPr>
          <w:highlight w:val="white"/>
        </w:rPr>
        <w:t xml:space="preserve">Право на заключение договора (ов) на </w:t>
      </w:r>
      <w:r>
        <w:rPr>
          <w:highlight w:val="white"/>
        </w:rPr>
        <w:t xml:space="preserve">поставку </w:t>
      </w:r>
      <w:r>
        <w:rPr>
          <w:highlight w:val="white"/>
        </w:rPr>
        <w:t xml:space="preserve">спецодежды для защиты от ОПЗ</w:t>
      </w: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/>
      <w:r/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Более подробная информация о количестве поставляемого товара, объеме выполняемых работ, оказываемых услуг, указана в разделах «Техническая часть» и/или «Проект договора», являющихся неотъемлемой частью извещения о закупке.</w:t>
      </w:r>
      <w:r/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Частичное выполнение работ/услуг/поставок не допускается.</w:t>
      </w:r>
      <w:r/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Участник закупки должен принять во внимание, что, если иное не установлено извещением о закупке ссылки в извещении о закупке на конкретный тип продукции, производителя, носят лишь рекомендательный, а не обязательный характер. Учас</w:t>
      </w:r>
      <w:r>
        <w:t xml:space="preserve">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разделе «Техническая часть».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Место поставки товара, выполнения работы, оказания услуги</w:t>
      </w:r>
      <w:r>
        <w:rPr>
          <w:b/>
        </w:rPr>
      </w:r>
      <w:r>
        <w:rPr>
          <w:b/>
        </w:rPr>
      </w:r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color w:val="000000"/>
        </w:rPr>
      </w:pPr>
      <w:r>
        <w:rPr>
          <w:color w:val="000000"/>
        </w:rPr>
        <w:t xml:space="preserve">В соответствии с техническим заданием и проектом договора.</w:t>
      </w:r>
      <w:r>
        <w:rPr>
          <w:color w:val="000000"/>
        </w:rPr>
      </w:r>
      <w:r>
        <w:rPr>
          <w:color w:val="000000"/>
        </w:rPr>
      </w:r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Более подробная информация о месте, условиях и сроках (периодах) поставки товара, выполнения работ, оказания услуг указана в разделах «Техническая часть» и/или «Проект договора», являющихся неотъемлемой частью извещения о закупке.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</w:r>
      <w:r>
        <w:rPr>
          <w:b/>
        </w:rPr>
      </w:r>
      <w:r>
        <w:rPr>
          <w:b/>
        </w:rPr>
      </w:r>
    </w:p>
    <w:p>
      <w:pPr>
        <w:jc w:val="both"/>
        <w:spacing w:before="60"/>
        <w:tabs>
          <w:tab w:val="left" w:pos="708" w:leader="none"/>
        </w:tabs>
        <w:rPr>
          <w:bCs/>
          <w:highlight w:val="white"/>
        </w:rPr>
      </w:pPr>
      <w:r>
        <w:rPr>
          <w:bCs/>
          <w:highlight w:val="white"/>
          <w:lang w:eastAsia="ar-SA"/>
        </w:rPr>
        <w:t xml:space="preserve">Начальная (максимальная) цена договора без учета НДС составляет </w:t>
      </w:r>
      <w:r>
        <w:rPr>
          <w:bCs/>
          <w:highlight w:val="white"/>
          <w:lang w:eastAsia="ar-SA"/>
        </w:rPr>
        <w:t xml:space="preserve">223 107</w:t>
      </w:r>
      <w:r>
        <w:rPr>
          <w:bCs/>
          <w:highlight w:val="white"/>
          <w:lang w:eastAsia="ar-SA"/>
        </w:rPr>
        <w:t xml:space="preserve"> (Двести двадцать три тысячи сто семь) рублей 72 копейки, кроме того НДС в размере 20 %.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jc w:val="both"/>
        <w:spacing w:before="60"/>
        <w:tabs>
          <w:tab w:val="left" w:pos="708" w:leader="none"/>
        </w:tabs>
        <w:rPr>
          <w:bCs/>
          <w:highlight w:val="green"/>
          <w:lang w:eastAsia="ar-SA"/>
        </w:rPr>
      </w:pPr>
      <w:r>
        <w:rPr>
          <w:bCs/>
          <w:highlight w:val="green"/>
          <w:lang w:eastAsia="ar-SA"/>
        </w:rPr>
      </w:r>
      <w:r>
        <w:rPr>
          <w:bCs/>
          <w:highlight w:val="green"/>
          <w:lang w:eastAsia="ar-SA"/>
        </w:rPr>
      </w:r>
      <w:r>
        <w:rPr>
          <w:bCs/>
          <w:highlight w:val="green"/>
          <w:lang w:eastAsia="ar-SA"/>
        </w:rPr>
      </w:r>
    </w:p>
    <w:p>
      <w:pPr>
        <w:jc w:val="both"/>
        <w:spacing w:before="60"/>
        <w:tabs>
          <w:tab w:val="left" w:pos="0" w:leader="none"/>
          <w:tab w:val="left" w:pos="708" w:leader="none"/>
        </w:tabs>
        <w:rPr>
          <w:bCs/>
          <w:highlight w:val="white"/>
        </w:rPr>
      </w:pPr>
      <w:r>
        <w:rPr>
          <w:bCs/>
          <w:highlight w:val="white"/>
          <w:lang w:eastAsia="ar-SA"/>
        </w:rPr>
        <w:t xml:space="preserve">Начальная (максимальная) цена договора с учетом НДС составляет </w:t>
      </w:r>
      <w:r>
        <w:rPr>
          <w:bCs/>
          <w:highlight w:val="white"/>
          <w:lang w:eastAsia="ar-SA"/>
        </w:rPr>
        <w:t xml:space="preserve">267 729</w:t>
      </w:r>
      <w:r>
        <w:rPr>
          <w:bCs/>
          <w:highlight w:val="white"/>
          <w:lang w:eastAsia="ar-SA"/>
        </w:rPr>
        <w:t xml:space="preserve"> (Двести шестьдесят семь тысяч семьсот двадцать девять) рублей 26 копеек.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Начальная (максимальная) цена договора включает в себя: все затраты, накладные расходы, налоги, пошлины, таможенные платежи, с</w:t>
      </w:r>
      <w: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/>
    </w:p>
    <w:p>
      <w:pPr>
        <w:jc w:val="both"/>
        <w:keepNext/>
        <w:spacing w:after="60"/>
        <w:tabs>
          <w:tab w:val="num" w:pos="596" w:leader="none"/>
        </w:tabs>
        <w:outlineLvl w:val="2"/>
      </w:pPr>
      <w:r>
        <w:t xml:space="preserve">Обоснование начальной (максимальной) цены договора, либо цены единицы товара, работы, услуги, приведено в разделе 8 «ОБОСНОВАНИЕ НАЧАЛЬНОЙ (МАКСИМАЛЬНОЙ) ЦЕНЫ ДОГОВОРА».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Срок, место и порядок предоставления извещения о закупке</w:t>
      </w:r>
      <w:r>
        <w:rPr>
          <w:b/>
        </w:rPr>
      </w:r>
      <w:r>
        <w:rPr>
          <w:b/>
        </w:rPr>
      </w:r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i/>
          <w:color w:val="000000"/>
          <w:highlight w:val="cyan"/>
        </w:rPr>
      </w:pPr>
      <w:r>
        <w:t xml:space="preserve">Извещение о закупке в полном объеме в электронном виде безвозмездно доступно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</w:t>
      </w:r>
      <w:r>
        <w:rPr>
          <w:highlight w:val="white"/>
        </w:rPr>
        <w:t xml:space="preserve">) </w:t>
      </w:r>
      <w:r>
        <w:rPr>
          <w:highlight w:val="white"/>
        </w:rPr>
        <w:t xml:space="preserve">https://corp.roseltorg.ru</w:t>
      </w:r>
      <w:r>
        <w:rPr>
          <w:highlight w:val="white"/>
        </w:rPr>
        <w:t xml:space="preserve"> начиная с </w:t>
      </w:r>
      <w:r>
        <w:rPr>
          <w:highlight w:val="white"/>
        </w:rPr>
        <w:t xml:space="preserve">«</w:t>
      </w:r>
      <w:r>
        <w:rPr>
          <w:highlight w:val="white"/>
        </w:rPr>
        <w:t xml:space="preserve">02»декабря</w:t>
      </w:r>
      <w:r>
        <w:rPr>
          <w:highlight w:val="white"/>
        </w:rPr>
        <w:t xml:space="preserve"> 20</w:t>
      </w:r>
      <w:r>
        <w:rPr>
          <w:highlight w:val="white"/>
        </w:rPr>
        <w:t xml:space="preserve">25 года.</w:t>
      </w:r>
      <w:r>
        <w:rPr>
          <w:i/>
          <w:highlight w:val="cyan"/>
        </w:rPr>
        <w:t xml:space="preserve"> </w:t>
      </w:r>
      <w:r>
        <w:rPr>
          <w:i/>
          <w:color w:val="000000"/>
          <w:highlight w:val="cyan"/>
        </w:rPr>
      </w:r>
      <w:r>
        <w:rPr>
          <w:i/>
          <w:color w:val="000000"/>
          <w:highlight w:val="cyan"/>
        </w:rPr>
      </w:r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Порядок, дата и время начала и окончания отбора предложений на участие в закупке (этапы закупки) 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Заявка подается в электронной форме с использованием функционала и в соответствии с Регламентом работы ЭП.</w:t>
      </w:r>
      <w:r/>
    </w:p>
    <w:p>
      <w:pPr>
        <w:jc w:val="both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Заявка действительна в течение срока, указанного участником закупки в заявке на участие в закупке (форма 1). В любом случае этот срок не должен быть менее, чем 90 календарных дней со дня, следующего за днем окончания отбора заявок.</w:t>
      </w:r>
      <w:r/>
    </w:p>
    <w:p>
      <w:pPr>
        <w:pStyle w:val="1155"/>
        <w:jc w:val="both"/>
        <w:tabs>
          <w:tab w:val="left" w:pos="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pStyle w:val="1155"/>
        <w:jc w:val="both"/>
        <w:tabs>
          <w:tab w:val="left" w:pos="0" w:leader="none"/>
        </w:tabs>
      </w:pPr>
      <w:r>
        <w:t xml:space="preserve">Дата и время начала отбора предложений: </w:t>
      </w:r>
      <w:r/>
    </w:p>
    <w:p>
      <w:pPr>
        <w:pStyle w:val="1155"/>
        <w:jc w:val="both"/>
        <w:tabs>
          <w:tab w:val="left" w:pos="0" w:leader="none"/>
        </w:tabs>
        <w:rPr>
          <w:highlight w:val="white"/>
        </w:rPr>
      </w:pPr>
      <w:r>
        <w:rPr>
          <w:highlight w:val="white"/>
        </w:rPr>
        <w:t xml:space="preserve">«02» декабря 2025 года 11:00 (время московское)</w:t>
      </w:r>
      <w:r>
        <w:rPr>
          <w:highlight w:val="white"/>
        </w:rPr>
      </w:r>
      <w:r>
        <w:rPr>
          <w:highlight w:val="white"/>
        </w:rPr>
      </w:r>
    </w:p>
    <w:p>
      <w:pPr>
        <w:pStyle w:val="1155"/>
        <w:jc w:val="both"/>
        <w:tabs>
          <w:tab w:val="left" w:pos="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1155"/>
        <w:jc w:val="both"/>
        <w:tabs>
          <w:tab w:val="left" w:pos="0" w:leader="none"/>
        </w:tabs>
        <w:rPr>
          <w:highlight w:val="white"/>
        </w:rPr>
      </w:pPr>
      <w:r>
        <w:rPr>
          <w:highlight w:val="white"/>
        </w:rPr>
        <w:t xml:space="preserve">Дата и время окончания отбора предложений:</w:t>
      </w:r>
      <w:r>
        <w:rPr>
          <w:highlight w:val="white"/>
        </w:rPr>
      </w:r>
      <w:r>
        <w:rPr>
          <w:highlight w:val="white"/>
        </w:rPr>
      </w:r>
    </w:p>
    <w:p>
      <w:pPr>
        <w:pStyle w:val="1155"/>
        <w:jc w:val="both"/>
        <w:tabs>
          <w:tab w:val="left" w:pos="0" w:leader="none"/>
        </w:tabs>
        <w:rPr>
          <w:highlight w:val="white"/>
        </w:rPr>
      </w:pPr>
      <w:r>
        <w:rPr>
          <w:highlight w:val="white"/>
        </w:rPr>
        <w:t xml:space="preserve">«05» декабря 2025 года 11:00 (время московское)</w:t>
      </w:r>
      <w:r>
        <w:rPr>
          <w:highlight w:val="white"/>
        </w:rPr>
      </w:r>
      <w:r>
        <w:rPr>
          <w:highlight w:val="white"/>
        </w:rPr>
      </w:r>
    </w:p>
    <w:p>
      <w:pPr>
        <w:pStyle w:val="1155"/>
        <w:jc w:val="both"/>
        <w:tabs>
          <w:tab w:val="left" w:pos="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1155"/>
        <w:jc w:val="both"/>
        <w:spacing w:after="120"/>
        <w:tabs>
          <w:tab w:val="left" w:pos="0" w:leader="none"/>
        </w:tabs>
        <w:rPr>
          <w:bCs/>
          <w:i/>
          <w:highlight w:val="white"/>
        </w:rPr>
      </w:pPr>
      <w:r>
        <w:rPr>
          <w:highlight w:val="white"/>
        </w:rPr>
        <w:t xml:space="preserve">Подведение итогов закупки: </w:t>
      </w:r>
      <w:r>
        <w:rPr>
          <w:highlight w:val="white"/>
        </w:rPr>
        <w:t xml:space="preserve">«30» декабря 2025 года.</w:t>
      </w:r>
      <w:r>
        <w:rPr>
          <w:highlight w:val="white"/>
        </w:rPr>
        <w:t xml:space="preserve"> </w:t>
      </w:r>
      <w:r>
        <w:rPr>
          <w:bCs/>
          <w:i/>
          <w:highlight w:val="white"/>
        </w:rPr>
      </w:r>
      <w:r>
        <w:rPr>
          <w:bCs/>
          <w:i/>
          <w:highlight w:val="white"/>
        </w:rPr>
      </w:r>
    </w:p>
    <w:p>
      <w:pPr>
        <w:pStyle w:val="1155"/>
        <w:jc w:val="both"/>
        <w:spacing w:after="119"/>
      </w:pPr>
      <w:r>
        <w:t xml:space="preserve">Заказчик вправе, при необходимости, изменять даты и время этапов закупки, подведения итогов закупки, в том числе после окончания срока отбора предложений.</w:t>
      </w:r>
      <w:r/>
    </w:p>
    <w:p>
      <w:pPr>
        <w:pStyle w:val="1155"/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</w:pPr>
      <w:r>
        <w:rPr>
          <w:b/>
        </w:rPr>
        <w:t xml:space="preserve">Адрес электронной площадки в информационно-телекоммуникационной сети «Интернет»</w:t>
      </w:r>
      <w:r>
        <w:t xml:space="preserve"> </w:t>
      </w:r>
      <w:r/>
    </w:p>
    <w:p>
      <w:pPr>
        <w:pStyle w:val="1155"/>
        <w:jc w:val="both"/>
        <w:spacing w:after="120"/>
        <w:tabs>
          <w:tab w:val="left" w:pos="0" w:leader="none"/>
        </w:tabs>
        <w:rPr>
          <w:highlight w:val="white"/>
        </w:rPr>
      </w:pPr>
      <w:r>
        <w:rPr>
          <w:highlight w:val="white"/>
        </w:rPr>
        <w:t xml:space="preserve">https://corp.roseltorg.ru</w:t>
      </w:r>
      <w:r>
        <w:rPr>
          <w:highlight w:val="white"/>
        </w:rPr>
      </w:r>
      <w:r>
        <w:rPr>
          <w:highlight w:val="white"/>
        </w:rPr>
      </w:r>
    </w:p>
    <w:p>
      <w:pPr>
        <w:pStyle w:val="1155"/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  <w:rPr>
          <w:b/>
        </w:rPr>
      </w:pPr>
      <w:r>
        <w:rPr>
          <w:b/>
        </w:rPr>
        <w:t xml:space="preserve">Обеспечение заявок на участие в закупке. 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</w:r>
      <w:r>
        <w:rPr>
          <w:b/>
        </w:rPr>
      </w:r>
      <w:r>
        <w:rPr>
          <w:b/>
        </w:rPr>
      </w:r>
    </w:p>
    <w:p>
      <w:pPr>
        <w:pStyle w:val="1155"/>
        <w:jc w:val="both"/>
        <w:tabs>
          <w:tab w:val="left" w:pos="0" w:leader="none"/>
        </w:tabs>
        <w:rPr>
          <w:highlight w:val="none"/>
        </w:rPr>
      </w:pPr>
      <w:r>
        <w:t xml:space="preserve">Не требуется.</w:t>
      </w:r>
      <w:r>
        <w:rPr>
          <w:highlight w:val="none"/>
        </w:rPr>
      </w:r>
    </w:p>
    <w:p>
      <w:pPr>
        <w:pStyle w:val="1155"/>
        <w:jc w:val="both"/>
        <w:tabs>
          <w:tab w:val="left" w:pos="0" w:leader="none"/>
        </w:tabs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155"/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  <w:rPr>
          <w:b/>
        </w:rPr>
      </w:pPr>
      <w:r>
        <w:rPr>
          <w:b/>
        </w:rPr>
        <w:t xml:space="preserve">Обеспече</w:t>
      </w:r>
      <w:r>
        <w:rPr>
          <w:b/>
        </w:rPr>
        <w:t xml:space="preserve">ние исполнения договора. 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</w:r>
      <w:r>
        <w:rPr>
          <w:b/>
        </w:rPr>
      </w:r>
      <w:r>
        <w:rPr>
          <w:b/>
        </w:rPr>
      </w:r>
    </w:p>
    <w:p>
      <w:pPr>
        <w:jc w:val="both"/>
        <w:rPr>
          <w:highlight w:val="white"/>
        </w:rPr>
      </w:pPr>
      <w:r>
        <w:rPr>
          <w:highlight w:val="white"/>
        </w:rPr>
        <w:t xml:space="preserve">Не установлено, за исключением случаев, указанных в п. 3.11 извещения о проведении закупки.</w:t>
      </w:r>
      <w:r>
        <w:rPr>
          <w:highlight w:val="white"/>
        </w:rPr>
      </w:r>
      <w:r>
        <w:rPr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</w:rPr>
        <w:t xml:space="preserve">Размер обеспечения – установлен п. 3.11 извещения о проведении закупки.</w:t>
      </w:r>
      <w:r>
        <w:rPr>
          <w:highlight w:val="white"/>
        </w:rPr>
      </w:r>
      <w:r>
        <w:rPr>
          <w:highlight w:val="white"/>
        </w:rPr>
      </w:r>
    </w:p>
    <w:p>
      <w:pPr>
        <w:jc w:val="both"/>
        <w:rPr>
          <w:highlight w:val="white"/>
        </w:rPr>
      </w:pPr>
      <w:r>
        <w:rPr>
          <w:iCs/>
          <w:highlight w:val="white"/>
        </w:rPr>
        <w:t xml:space="preserve">Порядок предоставления обеспечения</w:t>
      </w:r>
      <w:r>
        <w:rPr>
          <w:highlight w:val="white"/>
        </w:rPr>
        <w:t xml:space="preserve"> установлен в настоящем извещении о проведении закупки и разделе 6 «ПРОЕКТ ДОГОВОРА».</w:t>
      </w:r>
      <w:r>
        <w:rPr>
          <w:highlight w:val="white"/>
        </w:rPr>
      </w:r>
      <w:r>
        <w:rPr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</w:rPr>
        <w:t xml:space="preserve">Основное обязательство, исполнение которого обеспечивается – исполнение договора.</w:t>
      </w:r>
      <w:r>
        <w:rPr>
          <w:highlight w:val="white"/>
        </w:rPr>
      </w:r>
      <w:r>
        <w:rPr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</w:rPr>
        <w:t xml:space="preserve">Срок исполнения – установлен в разделе 6 «ПРОЕКТ ДОГОВОРА».</w:t>
      </w:r>
      <w:r>
        <w:rPr>
          <w:highlight w:val="white"/>
        </w:rPr>
      </w:r>
      <w:r>
        <w:rPr>
          <w:highlight w:val="white"/>
        </w:rPr>
      </w:r>
    </w:p>
    <w:p>
      <w:pPr>
        <w:jc w:val="both"/>
        <w:rPr>
          <w:highlight w:val="none"/>
        </w:rPr>
      </w:pPr>
      <w:r>
        <w:rPr>
          <w:highlight w:val="white"/>
        </w:rPr>
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rPr>
          <w:highlight w:val="whit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white"/>
        </w:rPr>
      </w:r>
    </w:p>
    <w:p>
      <w:pPr>
        <w:pStyle w:val="1155"/>
        <w:numPr>
          <w:ilvl w:val="1"/>
          <w:numId w:val="3"/>
        </w:numPr>
        <w:ind w:left="0" w:firstLine="0"/>
        <w:jc w:val="both"/>
        <w:spacing w:after="120"/>
        <w:shd w:val="clear" w:color="ffffff" w:themeColor="background1" w:fill="ffffff" w:themeFill="background1"/>
        <w:tabs>
          <w:tab w:val="left" w:pos="0" w:leader="none"/>
        </w:tabs>
        <w:rPr>
          <w:b/>
        </w:rPr>
      </w:pPr>
      <w:r>
        <w:rPr>
          <w:b/>
          <w:bCs/>
          <w:color w:val="auto"/>
        </w:rPr>
        <w:t xml:space="preserve">Запрет, ограничение закупок товаров (в том числе поставляемых при выполнении закупаемых работ, оказании закупаемых услуг), про</w:t>
      </w:r>
      <w:r>
        <w:rPr>
          <w:b/>
          <w:bCs/>
          <w:color w:val="auto"/>
        </w:rPr>
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</w:r>
      <w:r>
        <w:rPr>
          <w:b/>
        </w:rPr>
      </w:r>
      <w:r>
        <w:rPr>
          <w:b/>
        </w:rPr>
      </w:r>
    </w:p>
    <w:p>
      <w:pPr>
        <w:numPr>
          <w:ilvl w:val="2"/>
          <w:numId w:val="3"/>
        </w:numPr>
        <w:ind w:left="0" w:firstLine="0"/>
        <w:jc w:val="both"/>
        <w:shd w:val="clear" w:color="ffffff" w:themeColor="background1" w:fill="ffffff" w:themeFill="background1"/>
      </w:pPr>
      <w:r>
        <w:t xml:space="preserve">Запрет, ограничение закупок товаров </w:t>
      </w:r>
      <w:r>
        <w:t xml:space="preserve">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</w:t>
      </w:r>
      <w:r>
        <w:t xml:space="preserve">ения (в том числе поставляемых при выполнении закупаемых работ, оказании закупаемых услуг) устанавливаются в соответствии с требованиями статьи 3.1-4 Закона 223-ФЗ и постановления Правительства Российской Федерации от 23.12.2024 № 1875 (далее - ПП № 1875).</w:t>
      </w:r>
      <w:r/>
    </w:p>
    <w:p>
      <w:pPr>
        <w:numPr>
          <w:ilvl w:val="2"/>
          <w:numId w:val="3"/>
        </w:numPr>
        <w:ind w:left="0" w:firstLine="0"/>
        <w:jc w:val="both"/>
        <w:shd w:val="clear" w:color="ffffff" w:themeColor="background1" w:fill="ffffff" w:themeFill="background1"/>
      </w:pPr>
      <w:r>
        <w:t xml:space="preserve">Применение запрета, ограничения, преимущества, рассмотрение заявок участников в случае их установления, осуществляется Заказчиком в порядке и в соответствии с требованиями Закона 223-ФЗ и ПП № 1875.</w:t>
      </w:r>
      <w:r/>
    </w:p>
    <w:p>
      <w:pPr>
        <w:numPr>
          <w:ilvl w:val="2"/>
          <w:numId w:val="3"/>
        </w:numPr>
        <w:ind w:left="0" w:firstLine="0"/>
        <w:jc w:val="both"/>
        <w:shd w:val="clear" w:color="ffffff" w:themeColor="background1" w:fill="ffffff" w:themeFill="background1"/>
        <w:widowControl w:val="off"/>
      </w:pPr>
      <w:r>
        <w:t xml:space="preserve">Информация и документы, подтверждающие страну происхождения товара для целей ПП № 1875, определены пунктом 3 ПП № 1875, при этом </w:t>
      </w:r>
      <w:r>
        <w:rPr>
          <w:u w:val="single"/>
        </w:rPr>
        <w:t xml:space="preserve">в случаях, определенных ПП № 1875</w:t>
      </w:r>
      <w:r>
        <w:t xml:space="preserve">: </w:t>
      </w:r>
      <w:r/>
    </w:p>
    <w:p>
      <w:pPr>
        <w:pStyle w:val="943"/>
        <w:ind w:firstLine="567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  <w:highlight w:val="white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- </w:t>
      </w:r>
      <w:r>
        <w:rPr>
          <w:rFonts w:ascii="Times New Roman" w:hAnsi="Times New Roman"/>
          <w:b w:val="0"/>
          <w:bCs w:val="0"/>
          <w:sz w:val="24"/>
          <w:szCs w:val="24"/>
          <w:highlight w:val="white"/>
        </w:rPr>
        <w:t xml:space="preserve">для подтверждения товаров российского происхождения информация о совокупном количестве баллов </w:t>
      </w:r>
      <w:r>
        <w:rPr>
          <w:rFonts w:ascii="Times New Roman" w:hAnsi="Times New Roman"/>
          <w:b w:val="0"/>
          <w:bCs w:val="0"/>
          <w:sz w:val="24"/>
          <w:szCs w:val="24"/>
          <w:highlight w:val="white"/>
        </w:rPr>
        <w:t xml:space="preserve">(если в отношении такого товара постановлением Правительства РФ от 17.07.2015 N 719 (далее - ПП № 719) за выполнение (освоение) на территории Российской Федерации соответствующих операций (условий) установлены требования о совокупном количестве баллов)</w:t>
      </w:r>
      <w:r>
        <w:rPr>
          <w:rFonts w:ascii="Times New Roman" w:hAnsi="Times New Roman"/>
          <w:b w:val="0"/>
          <w:bCs w:val="0"/>
          <w:sz w:val="24"/>
          <w:szCs w:val="24"/>
          <w:highlight w:val="white"/>
        </w:rPr>
        <w:t xml:space="preserve"> на предлагаемый участником закупки товар должна составлять или превышать значение, определенное постановлением ПП № 719, </w:t>
      </w:r>
      <w:r>
        <w:rPr>
          <w:rFonts w:ascii="Times New Roman" w:hAnsi="Times New Roman"/>
          <w:b w:val="0"/>
          <w:bCs w:val="0"/>
          <w:sz w:val="24"/>
          <w:szCs w:val="24"/>
          <w:highlight w:val="white"/>
        </w:rPr>
        <w:t xml:space="preserve">включая значение, определенное для целей осуществления закупок (если ПП № 719 в отношении такого товара определено значение для целей осуществления закупок);</w:t>
      </w:r>
      <w:r>
        <w:rPr>
          <w:rFonts w:ascii="Times New Roman" w:hAnsi="Times New Roman"/>
          <w:b w:val="0"/>
          <w:bCs w:val="0"/>
          <w:highlight w:val="white"/>
        </w:rPr>
      </w:r>
      <w:r>
        <w:rPr>
          <w:rFonts w:ascii="Times New Roman" w:hAnsi="Times New Roman"/>
          <w:b w:val="0"/>
          <w:bCs w:val="0"/>
          <w:highlight w:val="white"/>
        </w:rPr>
      </w:r>
    </w:p>
    <w:p>
      <w:pPr>
        <w:pStyle w:val="943"/>
        <w:ind w:firstLine="567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- заявка на участие в закупке, в которой содержится предложение о поставке товара российского происхождения, являющегося радиоэлектронной продукцией, не признанной в соответствии с ПП № 719 радиоэлектронной продукцией первого уровня, прир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авнивается к заявке на участие в закупке, в которой содержится предложение о поставке товара, происходящего из иностранного государства, если на участие в такой закупке подана заявка на участие в закупке, признанная по результатам ее рассмотрения соответст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вующей установленным в соответствии с Законом 223-ФЗ требованиям и содержащая предложение о поставке товара российского происхождения, являющегося радиоэлектронной продукцией, признанной в соответствии с ПП № 719 радиоэлектронной продукцией первого уровня;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ind w:firstLine="567"/>
        <w:jc w:val="both"/>
        <w:widowControl w:val="off"/>
      </w:pPr>
      <w:r>
        <w:t xml:space="preserve">- заявка на участие в закупке, в которой содержится предложение программного обеспечения, реестровая запись о котором в реестре российского программного обеспечения или реестре евразийского программного обеспечения н</w:t>
      </w:r>
      <w:r>
        <w:t xml:space="preserve">е содержит информацию о соответствии предлагаемого программного обеспечения дополнительным требованиям к программному обеспечению, приравнивается к заявке на участие в закупке, в которой содержится предложение программного обеспечения, происходящего из ино</w:t>
      </w:r>
      <w:r>
        <w:t xml:space="preserve">странного государства, если на участие в такой закупке подана заявка на участие в закупке, признанная по результатам ее рассмотрения соответствующей установленным в соответствии с Законом 223-ФЗ требованиям и содержащая предложение о программном обеспечени</w:t>
      </w:r>
      <w:r>
        <w:t xml:space="preserve">и,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обеспечению;</w:t>
      </w:r>
      <w:r/>
    </w:p>
    <w:p>
      <w:pPr>
        <w:ind w:firstLine="567"/>
        <w:jc w:val="both"/>
        <w:widowControl w:val="off"/>
        <w:rPr>
          <w:highlight w:val="white"/>
        </w:rPr>
      </w:pPr>
      <w:r>
        <w:rPr>
          <w:highlight w:val="white"/>
        </w:rPr>
        <w:t xml:space="preserve">- до внесения изменений в право Евразийского экономического союза (далее – ЕАЭС), предусматривающих подтверждение страны происхождения товаров, указанных в приложениях № 1 (запреты), 2 (ограничения) к ПП № 1875, путем предоставлен</w:t>
      </w:r>
      <w:r>
        <w:rPr>
          <w:highlight w:val="white"/>
        </w:rPr>
        <w:t xml:space="preserve">ия информации из евразийского реестра промышленных товаров, документом, подтверждающим происхождение таких товаров из государств - членов ЕАЭС, за исключением Российской Федерации, является сертификат о происхождении товара, выданный уполномоченным органом</w:t>
      </w:r>
      <w:r>
        <w:rPr>
          <w:highlight w:val="white"/>
        </w:rPr>
        <w:t xml:space="preserve"> 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numPr>
          <w:ilvl w:val="2"/>
          <w:numId w:val="3"/>
        </w:numPr>
        <w:ind w:left="0" w:firstLine="0"/>
        <w:jc w:val="both"/>
        <w:shd w:val="clear" w:color="ffffff" w:themeColor="background1" w:fill="ffffff" w:themeFill="background1"/>
        <w:widowControl w:val="off"/>
      </w:pPr>
      <w:r>
        <w:t xml:space="preserve">Информация о применении запрета, ограничения, преимущества к закупаемым товарам (в том числе поставляемым при выполнении закупаемых работ, оказании закупаемых услуг), содержится в составе раздела 7 «ТЕХНИЧЕСКАЯ ЧАСТЬ».</w:t>
      </w:r>
      <w:r/>
    </w:p>
    <w:p>
      <w:pPr>
        <w:numPr>
          <w:ilvl w:val="2"/>
          <w:numId w:val="3"/>
        </w:numPr>
        <w:ind w:left="0" w:firstLine="0"/>
        <w:jc w:val="both"/>
        <w:shd w:val="clear" w:color="ffffff" w:themeColor="background1" w:fill="ffffff" w:themeFill="background1"/>
      </w:pPr>
      <w:r>
        <w:t xml:space="preserve">Если в отношении закупаемых товаров (в том числе поставляемым при выполнении </w:t>
      </w:r>
      <w:r>
        <w:t xml:space="preserve">закупаемых работ, оказании закупаемых услуг), работ, услуг, установлен запрет, не допускается заключение договора на поставку такого товара, происходящего из иностранных государств, работ, услуг, соответственно выполняемых, оказываемых иностранными лицами.</w:t>
      </w:r>
      <w:r/>
    </w:p>
    <w:p>
      <w:pPr>
        <w:numPr>
          <w:ilvl w:val="2"/>
          <w:numId w:val="3"/>
        </w:numPr>
        <w:ind w:left="0" w:firstLine="0"/>
        <w:jc w:val="both"/>
        <w:shd w:val="clear" w:color="ffffff" w:themeColor="background1" w:fill="ffffff" w:themeFill="background1"/>
      </w:pPr>
      <w: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ограни</w:t>
      </w:r>
      <w:r>
        <w:t xml:space="preserve">чение, не допускается заключение договора на поставку такого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</w:r>
      <w:r>
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происхождения.</w:t>
      </w:r>
      <w:r/>
    </w:p>
    <w:p>
      <w:pPr>
        <w:numPr>
          <w:ilvl w:val="2"/>
          <w:numId w:val="3"/>
        </w:numPr>
        <w:ind w:left="0" w:firstLine="0"/>
        <w:jc w:val="both"/>
        <w:shd w:val="clear" w:color="ffffff" w:themeColor="background1" w:fill="ffffff" w:themeFill="background1"/>
      </w:pPr>
      <w:r>
        <w:t xml:space="preserve">Если в отношении закупаемых работ, услуг установлено ограничение,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</w:t>
      </w:r>
      <w:r>
        <w:t xml:space="preserve">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закупки).</w:t>
      </w:r>
      <w:r/>
    </w:p>
    <w:p>
      <w:pPr>
        <w:numPr>
          <w:ilvl w:val="2"/>
          <w:numId w:val="3"/>
        </w:numPr>
        <w:ind w:left="0" w:firstLine="0"/>
        <w:jc w:val="both"/>
        <w:shd w:val="clear" w:color="ffffff" w:themeColor="background1" w:fill="ffffff" w:themeFill="background1"/>
      </w:pPr>
      <w: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</w:t>
      </w:r>
      <w:r>
        <w:t xml:space="preserve">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/>
    </w:p>
    <w:p>
      <w:pPr>
        <w:numPr>
          <w:ilvl w:val="2"/>
          <w:numId w:val="3"/>
        </w:numPr>
        <w:ind w:left="0" w:firstLine="0"/>
        <w:jc w:val="both"/>
        <w:shd w:val="clear" w:color="ffffff" w:themeColor="background1" w:fill="ffffff" w:themeFill="background1"/>
      </w:pPr>
      <w:r>
        <w:t xml:space="preserve">Положения ПП № 1875, касающиеся товара российского происхождения, работы, услуги, соответственно выполняемой, оказываемой российским гражданином, российским </w:t>
      </w:r>
      <w:r>
        <w:rPr>
          <w:highlight w:val="white"/>
        </w:rPr>
        <w:t xml:space="preserve">юридическим лицом, применяются также в отношении товара, происходящего из государства - </w:t>
      </w:r>
      <w:r>
        <w:rPr>
          <w:highlight w:val="white"/>
        </w:rPr>
        <w:t xml:space="preserve">члена ЕАЭС</w:t>
      </w:r>
      <w:r>
        <w:rPr>
          <w:highlight w:val="white"/>
        </w:rPr>
        <w:t xml:space="preserve">, работы, </w:t>
      </w:r>
      <w:r>
        <w:t xml:space="preserve">услуги, соответственно выполняемой, оказываемой иностранным лицом, зарегистрированным на территории государства - члена ЕАЭС.</w:t>
      </w:r>
      <w:r/>
    </w:p>
    <w:p>
      <w:pPr>
        <w:numPr>
          <w:ilvl w:val="1"/>
          <w:numId w:val="3"/>
        </w:numPr>
        <w:ind w:left="0" w:firstLine="0"/>
        <w:jc w:val="both"/>
        <w:rPr>
          <w:b/>
        </w:rPr>
      </w:pPr>
      <w:r>
        <w:rPr>
          <w:b/>
        </w:rPr>
        <w:t xml:space="preserve">Во всем, что не урегулировано извещением о закупке стороны руководствуются законодательством о закупках отдельными видами юридических лиц, Гражданским кодексом Российской Федерации, </w:t>
      </w:r>
      <w:r>
        <w:rPr>
          <w:b/>
          <w:bCs/>
        </w:rPr>
        <w:t xml:space="preserve">Единым стандартом закупок Публичного акционерного общества «Федеральная сетевая компания - Россети» (сокращенное наименование - ПАО «Россети») (далее – Стандарт, Положение о закупке).</w:t>
      </w:r>
      <w:r>
        <w:rPr>
          <w:b/>
        </w:rPr>
      </w:r>
      <w:r>
        <w:rPr>
          <w:b/>
        </w:rPr>
      </w:r>
    </w:p>
    <w:p>
      <w:pPr>
        <w:pStyle w:val="964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Требования к участникам закупки, требования к информации и документам, представляемым в составе заявки участника закупки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  <w:tabs>
          <w:tab w:val="left" w:pos="0" w:leader="none"/>
        </w:tabs>
        <w:rPr>
          <w:u w:val="single"/>
        </w:rPr>
      </w:pPr>
      <w:r>
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</w:r>
      <w:r>
        <w:rPr>
          <w:b/>
        </w:rPr>
        <w:t xml:space="preserve">субъектами малого или среднего предпринимательства</w:t>
      </w:r>
      <w:r>
        <w:t xml:space="preserve">, за исключением юридического лица, являющегося иностранным агентом в соответствии с Федеральным зак</w:t>
      </w:r>
      <w:r>
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</w:r>
      <w:r>
        <w:rPr>
          <w:b/>
        </w:rPr>
        <w:t xml:space="preserve">субъектами малого или среднего предпринимательства, </w:t>
      </w:r>
      <w:r>
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</w:r>
      <w:r>
        <w:rPr>
          <w:u w:val="single"/>
        </w:rPr>
      </w:r>
      <w:r>
        <w:rPr>
          <w:u w:val="single"/>
        </w:rPr>
      </w:r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</w:pPr>
      <w:r>
        <w:t xml:space="preserve">Чтобы претендовать на победу в закупке и получения права заключить договор, участник закупки должен отвечать следующим требованиям и включить в состав заявки следующую информацию и документы:</w:t>
      </w:r>
      <w:r/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3852"/>
        <w:gridCol w:w="56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52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3852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5616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W w:w="528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852" w:type="dxa"/>
            <w:textDirection w:val="lrTb"/>
            <w:noWrap w:val="false"/>
          </w:tcPr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Наличие и правильность оформления заявки на участие в закупке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5616" w:type="dxa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i/>
                <w:szCs w:val="20"/>
              </w:rPr>
            </w:pPr>
            <w:r>
              <w:rPr>
                <w:sz w:val="20"/>
                <w:szCs w:val="20"/>
              </w:rPr>
              <w:t xml:space="preserve">Заявка на участие в закупке (по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i/>
                <w:szCs w:val="20"/>
              </w:rPr>
            </w:r>
            <w:r>
              <w:rPr>
                <w:i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W w:w="528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852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Соответствие сводной таблицы стоимости поставок, работ (услуг) требованиям извещения.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Стоимость, указанная участником в сводной таблице стоимости поставок, работ (услуг), должна соответствовать стоимости, указанной участником на ЭП.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Предложение участника не должно превышать единичные расценки какой-либо номенклатурной позиции в сравнении с соответствующей плановой ценой, указанной в составе раздела 7 «ТЕХНИЧЕСКАЯ ЧАСТЬ».</w:t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</w:p>
        </w:tc>
        <w:tc>
          <w:tcPr>
            <w:tcW w:w="561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Сводная таблица стоимости поставок, работ (услуг) (по установленной форме в соответствии с приложением).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W w:w="528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852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Наличие анкеты участника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61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Анкета участника (по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W w:w="528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852" w:type="dxa"/>
            <w:textDirection w:val="lrTb"/>
            <w:noWrap w:val="false"/>
          </w:tcPr>
          <w:p>
            <w:pPr>
              <w:ind w:right="34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Соответствие технического предложения требованиям извещения.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Частичное выполнение работ/услуг/поставок не допускается.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</w:tc>
        <w:tc>
          <w:tcPr>
            <w:tcW w:w="5616" w:type="dxa"/>
            <w:textDirection w:val="lrTb"/>
            <w:noWrap w:val="false"/>
          </w:tcPr>
          <w:p>
            <w:pPr>
              <w:ind w:right="34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1. Техническое предложение (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249"/>
        </w:trPr>
        <w:tc>
          <w:tcPr>
            <w:tcW w:w="528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852" w:type="dxa"/>
            <w:vMerge w:val="restart"/>
            <w:textDirection w:val="lrTb"/>
            <w:noWrap w:val="false"/>
          </w:tcPr>
          <w:p>
            <w:pPr>
              <w:ind w:right="34"/>
              <w:widowControl w:val="off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</w:t>
            </w:r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561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Документы (заверенные участником копии приказов, протоколов собрания учредителей о назначении руководителя, и т.д.), подтверждающие полномочия лица, подписавшего заявку, а также его пр</w:t>
            </w:r>
            <w:r>
              <w:rPr>
                <w:sz w:val="20"/>
                <w:szCs w:val="20"/>
              </w:rPr>
              <w:t xml:space="preserve">аво на заключение соответствующего договора по результатам закупки (для юридических лиц). Если заявка подписывается по доверенности, предоставляется доверенность (либо заверенная копия доверенности) и вышеуказанные документы на лицо, выдавшее доверенность.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Пред</w:t>
            </w:r>
            <w:r>
              <w:rPr>
                <w:rFonts w:eastAsia="Arial Unicode MS"/>
                <w:sz w:val="20"/>
                <w:szCs w:val="20"/>
              </w:rPr>
              <w:t xml:space="preserve">оставление документов, подтверждающих полномочия лица, подписавшего заявку, не требуется в случае если в предоставленной участником выписке из ЕГРЮЛ лицо, подписавшее заявку, указано как имеющие право без доверенности действовать от имени юридического лица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W w:w="528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852" w:type="dxa"/>
            <w:vMerge w:val="continue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61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Копия устава юридического лица в действующей редакции (выписка из устава, содержащая сведения о полномочиях руководителя юридического лица).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503"/>
        </w:trPr>
        <w:tc>
          <w:tcPr>
            <w:tcW w:w="528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852" w:type="dxa"/>
            <w:vMerge w:val="continue"/>
            <w:textDirection w:val="lrTb"/>
            <w:noWrap w:val="false"/>
          </w:tcPr>
          <w:p>
            <w:pPr>
              <w:ind w:right="34"/>
              <w:widowControl w:val="off"/>
            </w:pPr>
            <w:r/>
            <w:r/>
          </w:p>
        </w:tc>
        <w:tc>
          <w:tcPr>
            <w:tcW w:w="561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Решение об одобрении или о совершении крупной сделки, либо копия такого решения в случае, если требование о необходимости наличия т</w:t>
            </w:r>
            <w:r>
              <w:rPr>
                <w:sz w:val="20"/>
                <w:szCs w:val="20"/>
              </w:rPr>
              <w:t xml:space="preserve">акого решения для совершения крупной сделки установлено законодательством Российской Федерации, учредительными документами юридического лица и для участника закупки поставка товара, выполнение работы или оказание услуги, являющихся предметом договора, либо</w:t>
            </w:r>
            <w:r>
              <w:rPr>
                <w:sz w:val="20"/>
                <w:szCs w:val="20"/>
              </w:rPr>
              <w:t xml:space="preserve"> внесение денежных средств в качестве обеспечения заявки на участие в закупке, обеспечения исполнения договора является крупной сделкой, или (в случае, если сделка согласно законодательству не является для участника крупной) – справку в произвольной форме.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Таковыми документами являются: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Д</w:t>
            </w:r>
            <w:r>
              <w:rPr>
                <w:i/>
                <w:sz w:val="18"/>
                <w:szCs w:val="18"/>
                <w:lang w:eastAsia="en-US"/>
              </w:rPr>
              <w:t xml:space="preserve">ля общества с ограниченной ответственностью – выписка из протокола, содержащего решение о совершении крупной сделки, принятое и оформление в соотве</w:t>
            </w:r>
            <w:r>
              <w:rPr>
                <w:i/>
                <w:sz w:val="18"/>
                <w:szCs w:val="18"/>
                <w:lang w:eastAsia="en-US"/>
              </w:rPr>
              <w:t xml:space="preserve">тствии со ст. 46 Федерального закона от 08.02.1998 №14-ФЗ «Об обществах с ограниченной ответственностью»,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shd w:val="clear" w:color="auto" w:fill="ffffff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Для акционерного общества - выписка из протокола, содержащего решение об одобрении крупной сделки, принятое и оформление в соответствии со ст.79</w:t>
            </w:r>
            <w:r>
              <w:rPr>
                <w:i/>
                <w:sz w:val="18"/>
                <w:szCs w:val="18"/>
              </w:rPr>
              <w:t xml:space="preserve"> Федерального закона от 26.12.1995 №208-ФЗ «Об акционерных обществах»,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shd w:val="clear" w:color="auto" w:fill="ffffff"/>
              <w:widowControl w:val="off"/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Для унитарного п</w:t>
            </w:r>
            <w:r>
              <w:rPr>
                <w:i/>
                <w:sz w:val="18"/>
                <w:szCs w:val="18"/>
              </w:rPr>
              <w:t xml:space="preserve">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предприятиях.).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499"/>
        </w:trPr>
        <w:tc>
          <w:tcPr>
            <w:tcW w:w="528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852" w:type="dxa"/>
            <w:textDirection w:val="lrTb"/>
            <w:noWrap w:val="false"/>
          </w:tcPr>
          <w:p>
            <w:pPr>
              <w:ind w:firstLine="34"/>
              <w:keepNext/>
              <w:rPr>
                <w:rFonts w:eastAsia="Calibri"/>
                <w:bCs/>
                <w:sz w:val="20"/>
                <w:szCs w:val="22"/>
              </w:rPr>
            </w:pPr>
            <w:r>
              <w:rPr>
                <w:rFonts w:eastAsia="Calibri"/>
                <w:bCs/>
                <w:sz w:val="20"/>
                <w:szCs w:val="22"/>
              </w:rPr>
              <w:t xml:space="preserve">Предоставление справки о цепочке собственников участника закупки, включая бенефициаров (в том числе конечных).</w:t>
            </w:r>
            <w:r>
              <w:rPr>
                <w:rFonts w:eastAsia="Calibri"/>
                <w:bCs/>
                <w:sz w:val="20"/>
                <w:szCs w:val="22"/>
              </w:rPr>
            </w:r>
            <w:r>
              <w:rPr>
                <w:rFonts w:eastAsia="Calibri"/>
                <w:bCs/>
                <w:sz w:val="20"/>
                <w:szCs w:val="22"/>
              </w:rPr>
            </w:r>
          </w:p>
          <w:p>
            <w:pPr>
              <w:ind w:firstLine="34"/>
              <w:keepNext/>
              <w:rPr>
                <w:rFonts w:eastAsia="Calibri"/>
                <w:bCs/>
                <w:sz w:val="20"/>
                <w:szCs w:val="22"/>
              </w:rPr>
            </w:pPr>
            <w:r>
              <w:rPr>
                <w:rFonts w:eastAsia="Calibri"/>
                <w:bCs/>
                <w:sz w:val="20"/>
                <w:szCs w:val="22"/>
              </w:rPr>
              <w:t xml:space="preserve">Согласие на обработку персональных данных.</w:t>
            </w:r>
            <w:r>
              <w:rPr>
                <w:rFonts w:eastAsia="Calibri"/>
                <w:bCs/>
                <w:sz w:val="20"/>
                <w:szCs w:val="22"/>
              </w:rPr>
            </w:r>
            <w:r>
              <w:rPr>
                <w:rFonts w:eastAsia="Calibri"/>
                <w:bCs/>
                <w:sz w:val="20"/>
                <w:szCs w:val="22"/>
              </w:rPr>
            </w:r>
          </w:p>
        </w:tc>
        <w:tc>
          <w:tcPr>
            <w:tcW w:w="5616" w:type="dxa"/>
            <w:textDirection w:val="lrTb"/>
            <w:noWrap w:val="false"/>
          </w:tcPr>
          <w:p>
            <w:pPr>
              <w:numPr>
                <w:ilvl w:val="0"/>
                <w:numId w:val="13"/>
              </w:numPr>
              <w:ind w:left="34" w:firstLine="0"/>
              <w:keepNext/>
              <w:widowControl w:val="off"/>
              <w:tabs>
                <w:tab w:val="left" w:pos="318" w:leader="none"/>
              </w:tabs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 xml:space="preserve">Справка о цепочке собственников участника закупки, включая бенефициаров (в том числе конечных) 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  <w:p>
            <w:pPr>
              <w:numPr>
                <w:ilvl w:val="0"/>
                <w:numId w:val="13"/>
              </w:numPr>
              <w:ind w:left="34" w:firstLine="0"/>
              <w:keepNext/>
              <w:widowControl w:val="off"/>
              <w:tabs>
                <w:tab w:val="left" w:pos="328" w:leader="none"/>
              </w:tabs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 xml:space="preserve">Согласие на обработку персональных данных 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</w:tc>
      </w:tr>
      <w:tr>
        <w:tblPrEx/>
        <w:trPr>
          <w:trHeight w:val="499"/>
        </w:trPr>
        <w:tc>
          <w:tcPr>
            <w:tcW w:w="528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852" w:type="dxa"/>
            <w:textDirection w:val="lrTb"/>
            <w:noWrap w:val="false"/>
          </w:tcPr>
          <w:p>
            <w:pPr>
              <w:ind w:firstLine="34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списка аффилированных лиц для АО, сформированный не позднее 90 дней до даты окончания отбора предложений.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  <w:p>
            <w:pPr>
              <w:ind w:firstLine="0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  <w:highlight w:val="cyan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5616" w:type="dxa"/>
            <w:textDirection w:val="lrTb"/>
            <w:noWrap w:val="false"/>
          </w:tcPr>
          <w:p>
            <w:pPr>
              <w:keepNext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Список аффилированных лиц для АО, сформированный не позднее 90 дней до даты окончания отбора предложений.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keepNext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Понятие аффилированного лица используется в соответствии со ст.4 Закона РСФСР от 22.03.1991 № 948-1 «О конкуренции и ограничении монополистической деятельности на товарных рынках».</w:t>
            </w:r>
            <w:r>
              <w:rPr>
                <w:bCs/>
                <w:i/>
                <w:sz w:val="20"/>
                <w:szCs w:val="20"/>
              </w:rPr>
            </w:r>
            <w:r>
              <w:rPr>
                <w:bCs/>
                <w:i/>
                <w:sz w:val="20"/>
                <w:szCs w:val="20"/>
              </w:rPr>
            </w:r>
          </w:p>
        </w:tc>
      </w:tr>
      <w:tr>
        <w:tblPrEx/>
        <w:trPr>
          <w:trHeight w:val="499"/>
        </w:trPr>
        <w:tc>
          <w:tcPr>
            <w:tcW w:w="528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852" w:type="dxa"/>
            <w:textDirection w:val="lrTb"/>
            <w:noWrap w:val="false"/>
          </w:tcPr>
          <w:p>
            <w:pPr>
              <w:ind w:firstLine="34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сведений о наличии конфликта интересов и/или связей, носящих характер аффилированности с работниками Заказчика/Организатора закупки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  <w:p>
            <w:pPr>
              <w:ind w:firstLine="0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  <w:highlight w:val="cyan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5616" w:type="dxa"/>
            <w:textDirection w:val="lrTb"/>
            <w:noWrap w:val="false"/>
          </w:tcPr>
          <w:p>
            <w:pPr>
              <w:keepNext/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0"/>
              </w:rPr>
              <w:t xml:space="preserve">Справка о наличии конфликта интересов и/или связей, носящих характер аффилированности с работниками Заказчика/Организатора закупки </w:t>
            </w:r>
            <w:r>
              <w:rPr>
                <w:bCs/>
                <w:sz w:val="20"/>
                <w:szCs w:val="22"/>
              </w:rPr>
              <w:t xml:space="preserve">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  <w:p>
            <w:pPr>
              <w:keepNext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Наличие конфликта интересов и/или связей, носящих характер аффилирова</w:t>
            </w:r>
            <w:r>
              <w:rPr>
                <w:bCs/>
                <w:i/>
                <w:sz w:val="20"/>
                <w:szCs w:val="20"/>
              </w:rPr>
              <w:t xml:space="preserve">нности с работниками Заказчика/Организатора закупки, не является основанием для отклонения заявки участника. Указанная информация необходима в целях определения возможности члена закупочной комиссии, эксперта принимать участие в работе закупочной комиссии.</w:t>
            </w:r>
            <w:r>
              <w:rPr>
                <w:bCs/>
                <w:i/>
                <w:sz w:val="20"/>
                <w:szCs w:val="20"/>
              </w:rPr>
            </w:r>
            <w:r>
              <w:rPr>
                <w:bCs/>
                <w:i/>
                <w:sz w:val="20"/>
                <w:szCs w:val="20"/>
              </w:rPr>
            </w:r>
          </w:p>
        </w:tc>
      </w:tr>
      <w:tr>
        <w:tblPrEx/>
        <w:trPr>
          <w:trHeight w:val="499"/>
        </w:trPr>
        <w:tc>
          <w:tcPr>
            <w:tcW w:w="528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852" w:type="dxa"/>
            <w:textDirection w:val="lrTb"/>
            <w:noWrap w:val="false"/>
          </w:tcPr>
          <w:p>
            <w:pPr>
              <w:ind w:firstLine="34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Антикоррупционные обязательства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  <w:p>
            <w:pPr>
              <w:ind w:firstLine="0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  <w:highlight w:val="cyan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5616" w:type="dxa"/>
            <w:textDirection w:val="lrTb"/>
            <w:noWrap w:val="false"/>
          </w:tcPr>
          <w:p>
            <w:pPr>
              <w:keepNext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Антикоррупционные обязательства </w:t>
            </w:r>
            <w:r>
              <w:rPr>
                <w:bCs/>
                <w:sz w:val="20"/>
                <w:szCs w:val="22"/>
              </w:rPr>
              <w:t xml:space="preserve">(по установленной форме в соответствии с приложением).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keepNext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Антикоррупционная политика ПАО «Россети Сибирь» размещена официальном сайте ПАО «Россети Сибирь» </w:t>
            </w:r>
            <w:hyperlink r:id="rId14" w:tooltip="https://www.rosseti-sib.ru/" w:history="1">
              <w:r>
                <w:rPr>
                  <w:rStyle w:val="1104"/>
                  <w:bCs/>
                  <w:sz w:val="20"/>
                  <w:szCs w:val="20"/>
                </w:rPr>
                <w:t xml:space="preserve">https://www.rosseti-sib.ru/</w:t>
              </w:r>
            </w:hyperlink>
            <w:r>
              <w:rPr>
                <w:bCs/>
                <w:sz w:val="20"/>
                <w:szCs w:val="20"/>
              </w:rPr>
              <w:t xml:space="preserve"> в разделе Закупки.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trHeight w:val="499"/>
        </w:trPr>
        <w:tc>
          <w:tcPr>
            <w:tcW w:w="528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852" w:type="dxa"/>
            <w:textDirection w:val="lrTb"/>
            <w:noWrap w:val="false"/>
          </w:tcPr>
          <w:p>
            <w:pPr>
              <w:ind w:right="34" w:firstLine="34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Соответствие критериям отнесения к субъектам МСП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  <w:p>
            <w:pPr>
              <w:ind w:right="34" w:firstLine="34"/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highlight w:val="cyan"/>
              </w:rPr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</w:p>
        </w:tc>
        <w:tc>
          <w:tcPr>
            <w:tcW w:w="561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из Единого реестра субъектов малого и среднего предпринимательства (</w:t>
            </w:r>
            <w:hyperlink r:id="rId15" w:tooltip="https://rmsp.nalog.ru/" w:history="1">
              <w:r>
                <w:rPr>
                  <w:bCs/>
                  <w:color w:val="0000ff"/>
                  <w:sz w:val="20"/>
                  <w:szCs w:val="22"/>
                  <w:u w:val="single"/>
                </w:rPr>
                <w:t xml:space="preserve">https://rmsp.nalog.ru/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tabs>
                <w:tab w:val="left" w:pos="232" w:leader="none"/>
                <w:tab w:val="left" w:pos="5245" w:leader="none"/>
              </w:tabs>
              <w:rPr>
                <w:bCs/>
                <w:sz w:val="20"/>
                <w:szCs w:val="22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</w:tc>
      </w:tr>
      <w:tr>
        <w:tblPrEx/>
        <w:trPr>
          <w:trHeight w:val="499"/>
        </w:trPr>
        <w:tc>
          <w:tcPr>
            <w:tcW w:w="528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852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Соответствие критериям отнесения к самозанятым гражданам.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  <w:p>
            <w:pPr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Требование применяется только к участникам закупки -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</w:tc>
        <w:tc>
          <w:tcPr>
            <w:tcW w:w="5616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сайта </w:t>
            </w:r>
            <w:hyperlink r:id="rId16" w:tooltip="https://npd.nalog.ru/check-status/" w:history="1">
              <w:r>
                <w:rPr>
                  <w:rStyle w:val="1104"/>
                  <w:bCs/>
                  <w:sz w:val="20"/>
                  <w:szCs w:val="20"/>
                  <w:lang w:eastAsia="ar-SA"/>
                </w:rPr>
                <w:t xml:space="preserve">https://npd.nalog.ru/check-status/</w:t>
              </w:r>
            </w:hyperlink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trHeight w:val="1061"/>
        </w:trPr>
        <w:tc>
          <w:tcPr>
            <w:tcW w:w="528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852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Отсутствие процесса ликвидации, банкротства, внешнего управления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61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Выписка из Единого государственного реестра юридических лиц (либо выписка из Единого государственно</w:t>
            </w:r>
            <w:r>
              <w:rPr>
                <w:sz w:val="20"/>
                <w:szCs w:val="20"/>
              </w:rPr>
              <w:t xml:space="preserve">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</w:t>
            </w:r>
            <w:r>
              <w:rPr>
                <w:sz w:val="20"/>
                <w:szCs w:val="20"/>
              </w:rPr>
              <w:t xml:space="preserve">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528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852" w:type="dxa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rFonts w:eastAsia="Calibri"/>
                <w:bCs/>
                <w:sz w:val="20"/>
                <w:szCs w:val="22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недобросовестных п</w:t>
            </w:r>
            <w:r>
              <w:rPr>
                <w:rFonts w:eastAsia="Calibri"/>
                <w:bCs/>
                <w:sz w:val="20"/>
                <w:szCs w:val="20"/>
              </w:rPr>
              <w:t xml:space="preserve">оставщиков, который ведется в соответствии с Федеральным законом от 18.07.2011 № 223-ФЗ «О закупках товаров, работ, услуг отдельными видами юридических лиц», либо в Реестре недобросовестных поставщиков, который ведется в соответствии с Федеральным законом </w:t>
            </w:r>
            <w:r>
              <w:rPr>
                <w:rFonts w:eastAsia="Calibri"/>
                <w:bCs/>
                <w:sz w:val="20"/>
                <w:szCs w:val="22"/>
              </w:rPr>
              <w:t xml:space="preserve">от 05.04.2013 № 44-ФЗ «О контрактной системе в сфере закупок товаров, выполнение работ, оказание услуг для государственных и муниципальных нужд»</w:t>
            </w:r>
            <w:r>
              <w:rPr>
                <w:rFonts w:eastAsia="Calibri"/>
                <w:bCs/>
                <w:sz w:val="20"/>
                <w:szCs w:val="22"/>
              </w:rPr>
            </w:r>
            <w:r>
              <w:rPr>
                <w:rFonts w:eastAsia="Calibri"/>
                <w:bCs/>
                <w:sz w:val="20"/>
                <w:szCs w:val="22"/>
              </w:rPr>
            </w:r>
          </w:p>
        </w:tc>
        <w:tc>
          <w:tcPr>
            <w:tcW w:w="561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из </w:t>
            </w:r>
            <w:r>
              <w:rPr>
                <w:sz w:val="20"/>
                <w:szCs w:val="20"/>
              </w:rPr>
              <w:t xml:space="preserve">единой информационной системы </w:t>
            </w:r>
            <w:r>
              <w:rPr>
                <w:bCs/>
                <w:sz w:val="20"/>
                <w:szCs w:val="20"/>
                <w:lang w:eastAsia="ar-SA"/>
              </w:rPr>
              <w:t xml:space="preserve">(</w:t>
            </w:r>
            <w:hyperlink r:id="rId17" w:tooltip="http://www.zakupki.gov.ru" w:history="1">
              <w:r>
                <w:rPr>
                  <w:rStyle w:val="1104"/>
                  <w:bCs/>
                  <w:sz w:val="20"/>
                  <w:szCs w:val="20"/>
                  <w:lang w:eastAsia="ar-SA"/>
                </w:rPr>
                <w:t xml:space="preserve">www.zakupki.gov.ru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keepNext/>
              <w:widowControl w:val="off"/>
              <w:tabs>
                <w:tab w:val="left" w:pos="3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528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852" w:type="dxa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перечне юридических лиц, в отношении которых применяются специальные экономические м</w:t>
            </w:r>
            <w:r>
              <w:rPr>
                <w:rFonts w:eastAsia="Calibri"/>
                <w:bCs/>
                <w:sz w:val="20"/>
                <w:szCs w:val="20"/>
              </w:rPr>
              <w:t xml:space="preserve">еры, утвержденном Постановлением Правительства РФ от 11.05.2022 N 851 "О мерах по реализации Указа Президента Российской Федерации от 3 мая 2022 г. N 252" (вместе с "Перечнем юридических лиц, в отношении которых применяются специальные экономические меры")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561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самостоятельно. </w:t>
            </w: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205"/>
        </w:trPr>
        <w:tc>
          <w:tcPr>
            <w:tcW w:w="528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852" w:type="dxa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иностранных агентов, который ведется в соответствии с Федеральным законом от 14.07.2022 N 255-ФЗ "О контроле за деятельностью лиц, находящихся под иностранным влиянием"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5616" w:type="dxa"/>
            <w:textDirection w:val="lrTb"/>
            <w:noWrap w:val="false"/>
          </w:tcPr>
          <w:p>
            <w:pPr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Реестра иностранных агентов, размещенного на официальном сайте Министерства юстиции РФ (https://minjust.gov.ru/ru/activity/directions/942/).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rPr>
                <w:sz w:val="20"/>
                <w:szCs w:val="20"/>
                <w:highlight w:val="yellow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highlight w:val="yellow"/>
                <w:lang w:eastAsia="ar-SA"/>
              </w:rPr>
            </w:r>
            <w:r>
              <w:rPr>
                <w:sz w:val="20"/>
                <w:szCs w:val="20"/>
                <w:highlight w:val="yellow"/>
                <w:lang w:eastAsia="ar-SA"/>
              </w:rPr>
            </w:r>
          </w:p>
        </w:tc>
      </w:tr>
      <w:tr>
        <w:tblPrEx/>
        <w:trPr>
          <w:trHeight w:val="205"/>
        </w:trPr>
        <w:tc>
          <w:tcPr>
            <w:tcW w:w="528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852" w:type="dxa"/>
            <w:textDirection w:val="lrTb"/>
            <w:noWrap w:val="false"/>
          </w:tcPr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Наличие соглашения о намерениях заключить договор между участником и каждым привлекаемым </w:t>
            </w:r>
            <w:r>
              <w:rPr>
                <w:rFonts w:eastAsia="Calibri"/>
                <w:sz w:val="20"/>
                <w:szCs w:val="20"/>
              </w:rPr>
              <w:t xml:space="preserve">субподрядчиком/соисполнителем/сопоставщиком (выполняющего 5% и более объема поставок, работ, услуг), с предоставлением сведений о перечне, объемах, стоимости и сроках выполнения возлагаемых на субподрядчика/соисполнителя/сопоставщика поставок, работ, услуг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 договорам генерального подряда</w:t>
            </w:r>
            <w:r>
              <w:rPr>
                <w:rFonts w:eastAsia="Calibri"/>
                <w:sz w:val="20"/>
                <w:szCs w:val="20"/>
              </w:rPr>
              <w:t xml:space="preserve"> (ГП) участник должен выполнять не менее 30% работ/услуг c использованием только собственных кадровых и материально-технических ресурсов от общего объема строительно-монтажных работ и/или пуско-наладочных работ (без учета стоимости поставляемой продукции).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5616" w:type="dxa"/>
            <w:textDirection w:val="lrTb"/>
            <w:noWrap w:val="false"/>
          </w:tcPr>
          <w:p>
            <w:pPr>
              <w:ind w:right="34"/>
              <w:widowControl w:val="off"/>
              <w:tabs>
                <w:tab w:val="left" w:pos="993" w:leader="none"/>
              </w:tabs>
              <w:rPr>
                <w:bCs/>
                <w:sz w:val="20"/>
                <w:szCs w:val="22"/>
              </w:rPr>
              <w:outlineLvl w:val="2"/>
            </w:pPr>
            <w:r/>
            <w:bookmarkStart w:id="6" w:name="_Toc476225272"/>
            <w:r/>
            <w:bookmarkStart w:id="7" w:name="_Toc485198206"/>
            <w:r>
              <w:rPr>
                <w:bCs/>
                <w:sz w:val="20"/>
                <w:szCs w:val="20"/>
              </w:rPr>
              <w:t xml:space="preserve">1. Сведения о распределении объемов поставок, работ (услуг) между участником и субподрядчиками (соисполнителями/сопоставщиками) в объеме выполняемых поставок, работ, услуг</w:t>
            </w:r>
            <w:bookmarkEnd w:id="6"/>
            <w:r/>
            <w:bookmarkEnd w:id="7"/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2"/>
              </w:rPr>
              <w:t xml:space="preserve">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  <w:p>
            <w:pPr>
              <w:ind w:right="34"/>
              <w:widowControl w:val="off"/>
              <w:tabs>
                <w:tab w:val="left" w:pos="993" w:leader="none"/>
              </w:tabs>
              <w:rPr>
                <w:b/>
                <w:bCs/>
                <w:sz w:val="20"/>
              </w:rPr>
              <w:outlineLvl w:val="2"/>
            </w:pPr>
            <w:r>
              <w:rPr>
                <w:b/>
                <w:bCs/>
                <w:sz w:val="20"/>
              </w:rPr>
              <w:t xml:space="preserve">Предоставляется в обязательном порядке по закупкам ПИР и СМР, в том числе, если на субподряд привлекать организации не планируется. По остальным категориям закупок предоставляется только в случае привлечения субподрядчиков/соисполнителей/сопоставщиков.</w: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  <w:p>
            <w:pPr>
              <w:ind w:right="34"/>
              <w:widowControl w:val="off"/>
              <w:tabs>
                <w:tab w:val="left" w:pos="993" w:leader="none"/>
              </w:tabs>
              <w:rPr>
                <w:b/>
                <w:bCs/>
                <w:sz w:val="20"/>
                <w:szCs w:val="20"/>
              </w:rPr>
              <w:outlineLvl w:val="2"/>
            </w:pPr>
            <w:r>
              <w:rPr>
                <w:rFonts w:eastAsia="Arial Unicode MS"/>
                <w:sz w:val="20"/>
                <w:szCs w:val="20"/>
              </w:rPr>
              <w:t xml:space="preserve">2. Соглашение о намерениях заключить договор между участником и каждым привлекаемым субподрядчиком (соисполнителем/сопоставщиком).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528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852" w:type="dxa"/>
            <w:textDirection w:val="lrTb"/>
            <w:noWrap w:val="false"/>
          </w:tcPr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Наличие соглашения между членами коллективного участника, с предоставлением сведений о перечне, объемах, стоимости и сроках выполнения возлагаемых на каждого члена коллективного участника поставок, работ, услуг.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Данное требование применяется только в случае подачи заявки коллективным участником</w: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</w:r>
          </w:p>
        </w:tc>
        <w:tc>
          <w:tcPr>
            <w:tcW w:w="5616" w:type="dxa"/>
            <w:textDirection w:val="lrTb"/>
            <w:noWrap w:val="false"/>
          </w:tcPr>
          <w:p>
            <w:pPr>
              <w:ind w:right="34"/>
              <w:widowControl w:val="off"/>
              <w:tabs>
                <w:tab w:val="left" w:pos="316" w:leader="none"/>
              </w:tabs>
              <w:rPr>
                <w:bCs/>
                <w:sz w:val="20"/>
                <w:szCs w:val="22"/>
              </w:rPr>
              <w:outlineLvl w:val="2"/>
            </w:pPr>
            <w:r>
              <w:rPr>
                <w:rFonts w:eastAsia="Arial Unicode MS"/>
                <w:sz w:val="20"/>
                <w:szCs w:val="20"/>
              </w:rPr>
              <w:t xml:space="preserve">1. Сведения о распределении объемов поставок, работ (услуг) между членами коллективного участника </w:t>
            </w:r>
            <w:r>
              <w:rPr>
                <w:bCs/>
                <w:sz w:val="20"/>
                <w:szCs w:val="22"/>
              </w:rPr>
              <w:t xml:space="preserve">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  <w:p>
            <w:pPr>
              <w:ind w:right="34"/>
              <w:widowControl w:val="off"/>
              <w:tabs>
                <w:tab w:val="left" w:pos="316" w:leader="none"/>
              </w:tabs>
              <w:rPr>
                <w:rFonts w:eastAsia="Arial Unicode MS"/>
                <w:sz w:val="20"/>
                <w:szCs w:val="20"/>
              </w:rPr>
              <w:outlineLvl w:val="2"/>
            </w:pPr>
            <w:r>
              <w:rPr>
                <w:bCs/>
                <w:sz w:val="20"/>
                <w:szCs w:val="22"/>
              </w:rPr>
              <w:t xml:space="preserve">2</w:t>
            </w:r>
            <w:r>
              <w:rPr>
                <w:rFonts w:eastAsia="Arial Unicode MS"/>
                <w:sz w:val="20"/>
                <w:szCs w:val="20"/>
              </w:rPr>
              <w:t xml:space="preserve">. Соглашение между членами коллективного участника в соответствии с требованиями настоящего извещения.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  <w:tr>
        <w:tblPrEx/>
        <w:trPr>
          <w:trHeight w:val="430"/>
        </w:trPr>
        <w:tc>
          <w:tcPr>
            <w:tcW w:w="52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9468" w:type="dxa"/>
            <w:vMerge w:val="restart"/>
            <w:textDirection w:val="lrTb"/>
            <w:noWrap w:val="false"/>
          </w:tcPr>
          <w:p>
            <w:r>
              <w:rPr>
                <w:b/>
                <w:bCs/>
                <w:sz w:val="20"/>
                <w:szCs w:val="20"/>
                <w:lang w:eastAsia="ar-SA"/>
              </w:rPr>
              <w:t xml:space="preserve">Информацию и документы, подлежащие представлению в заявке на участие в такой закупке для осуществления ее оценки (отсутствие указанных информации и документов не является основанием для отклонения заявки):</w:t>
            </w:r>
            <w:r/>
          </w:p>
        </w:tc>
      </w:tr>
      <w:tr>
        <w:tblPrEx/>
        <w:trPr>
          <w:trHeight w:val="430"/>
        </w:trPr>
        <w:tc>
          <w:tcPr>
            <w:tcW w:w="528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852" w:type="dxa"/>
            <w:vMerge w:val="restart"/>
            <w:textDirection w:val="lrTb"/>
            <w:noWrap w:val="false"/>
          </w:tcPr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Предоставление информации и документов, позволяющих оценить заявку участника по критерию оценки «Соответствие финансового состояния участника», в соответствии с Методикой оценки финансовой устойчивости Участников.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Порядок расчета по критерию и Методика оценки определены в разделе 9 «КРИТЕРИИ ОЦЕНКИ ЗАЯВОК УЧАСТНИКОВ».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 w:firstLine="34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Не предоставление участником в полн</w:t>
            </w:r>
            <w:r>
              <w:rPr>
                <w:rFonts w:eastAsia="Calibri"/>
                <w:i/>
                <w:sz w:val="20"/>
                <w:szCs w:val="20"/>
              </w:rPr>
              <w:t xml:space="preserve">ом объеме сведений, позволяющих оценить заявку участника по критерию оценки «Соответствие финансового состояния участника», не является основанием для отклонения заявки участника, при этом такому участнику присваивается 0 баллов по данному критерию оценки.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i/>
                <w:sz w:val="20"/>
                <w:szCs w:val="20"/>
                <w:highlight w:val="cyan"/>
              </w:rPr>
            </w:r>
            <w:r>
              <w:rPr>
                <w:rFonts w:eastAsia="Calibri"/>
                <w:color w:val="000000"/>
                <w:sz w:val="20"/>
                <w:szCs w:val="20"/>
              </w:rPr>
            </w:r>
          </w:p>
        </w:tc>
        <w:tc>
          <w:tcPr>
            <w:tcW w:w="5616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eastAsia="Arial Unicode MS"/>
                <w:b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</w:rPr>
              <w:t xml:space="preserve">Копии</w:t>
            </w:r>
            <w:r>
              <w:rPr>
                <w:rFonts w:eastAsia="Arial Unicode MS"/>
                <w:color w:val="000000"/>
                <w:sz w:val="20"/>
              </w:rPr>
              <w:t xml:space="preserve"> годовой бухгалтерской отчетности за последний отчетный год, сформированной в соответствии с требованиями 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Федерального</w:t>
            </w:r>
            <w:r>
              <w:rPr>
                <w:rFonts w:eastAsia="Arial Unicode MS"/>
                <w:color w:val="000000"/>
                <w:sz w:val="20"/>
              </w:rPr>
              <w:t xml:space="preserve"> 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закона от 06.12.2011 № 402-ФЗ «О бухгалтерском учете», с подтверждением о сдаче такой отчетности в налоговый орган </w:t>
            </w:r>
            <w:r>
              <w:rPr>
                <w:bCs/>
                <w:sz w:val="20"/>
                <w:szCs w:val="20"/>
                <w:lang w:eastAsia="ar-SA"/>
              </w:rPr>
              <w:t xml:space="preserve">(копия отчетности с визуализацией электронных подписей компании и налогового органа на документе и извещение о вводе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, либо отметки налогового органа (в случае предоставления сведений в налоговый орган на бумажном носителе).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</w:r>
          </w:p>
          <w:p>
            <w:pPr>
              <w:widowControl w:val="off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color w:val="000000"/>
                <w:sz w:val="20"/>
                <w:szCs w:val="20"/>
              </w:rPr>
              <w:t xml:space="preserve">Если участником закупки является индивидуальный предприниматель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, то таким участником предоставляется заполненная форма </w:t>
            </w:r>
            <w:r>
              <w:rPr>
                <w:color w:val="000000"/>
                <w:sz w:val="20"/>
                <w:szCs w:val="20"/>
              </w:rPr>
              <w:t xml:space="preserve">бухгалтерского баланса и отчета о финансовых результатах за последний отчетный год (без отметок налогового органа)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.</w:t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</w:p>
          <w:p>
            <w:pPr>
              <w:widowControl w:val="off"/>
              <w:rPr>
                <w:rFonts w:eastAsia="Arial Unicode MS"/>
                <w:b/>
                <w:color w:val="000000"/>
                <w:sz w:val="20"/>
              </w:rPr>
            </w:pP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Если участник закупки находится на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 упрощенной 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системе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 налогообложения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, дополнительно предоставляются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:</w:t>
            </w:r>
            <w:r>
              <w:rPr>
                <w:rFonts w:eastAsia="Arial Unicode MS"/>
                <w:b/>
                <w:color w:val="000000"/>
                <w:sz w:val="20"/>
              </w:rPr>
            </w:r>
            <w:r>
              <w:rPr>
                <w:rFonts w:eastAsia="Arial Unicode MS"/>
                <w:b/>
                <w:color w:val="000000"/>
                <w:sz w:val="20"/>
              </w:rPr>
            </w:r>
          </w:p>
          <w:p>
            <w:pPr>
              <w:widowControl w:val="off"/>
              <w:rPr>
                <w:rFonts w:eastAsia="Arial Unicode MS"/>
                <w:color w:val="000000"/>
                <w:sz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- 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</w:t>
            </w:r>
            <w:r>
              <w:rPr>
                <w:rFonts w:eastAsia="Arial Unicode MS"/>
                <w:color w:val="000000"/>
                <w:sz w:val="20"/>
              </w:rPr>
              <w:t xml:space="preserve">оговый орган (копия налоговой декларации (расчета) с визуализацией электронных подписей компании и налогового органа на документе и извещение о вводе, либо отметки налогового органа (в случае предоставления сведений в налоговый орган на бумажном носителе);</w:t>
            </w:r>
            <w:r>
              <w:rPr>
                <w:rFonts w:eastAsia="Arial Unicode MS"/>
                <w:color w:val="000000"/>
                <w:sz w:val="20"/>
              </w:rPr>
            </w:r>
            <w:r>
              <w:rPr>
                <w:rFonts w:eastAsia="Arial Unicode MS"/>
                <w:color w:val="000000"/>
                <w:sz w:val="20"/>
              </w:rPr>
            </w:r>
          </w:p>
          <w:p>
            <w:pPr>
              <w:widowControl w:val="off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- заявление о переходе на упрощенную систему налогообложения.</w:t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</w:p>
        </w:tc>
      </w:tr>
    </w:tbl>
    <w:p>
      <w:pPr>
        <w:ind w:right="-142" w:firstLine="709"/>
        <w:jc w:val="both"/>
        <w:keepNext/>
        <w:widowControl w:val="off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</w:r>
      <w:r>
        <w:rPr>
          <w:b/>
          <w:i/>
          <w:sz w:val="20"/>
          <w:szCs w:val="20"/>
        </w:rPr>
      </w:r>
      <w:r>
        <w:rPr>
          <w:b/>
          <w:i/>
          <w:sz w:val="20"/>
          <w:szCs w:val="20"/>
        </w:rPr>
      </w:r>
    </w:p>
    <w:p>
      <w:pPr>
        <w:jc w:val="both"/>
      </w:pPr>
      <w:r>
        <w:t xml:space="preserve">2.3. В случае, если в закупочной процедуре принимает участие объединение (группа лиц</w:t>
      </w:r>
      <w:r>
        <w:t xml:space="preserve">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</w:r>
      <w:r/>
    </w:p>
    <w:p>
      <w:pPr>
        <w:jc w:val="both"/>
        <w:rPr>
          <w:bCs/>
        </w:rPr>
      </w:pPr>
      <w:r>
        <w:rPr>
          <w:bCs/>
        </w:rPr>
        <w:t xml:space="preserve"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е) срок действия соглашения должен быть не менее, чем срок действия договора.</w:t>
      </w:r>
      <w:r>
        <w:rPr>
          <w:bCs/>
        </w:rPr>
      </w:r>
      <w:r>
        <w:rPr>
          <w:bCs/>
        </w:rPr>
      </w:r>
    </w:p>
    <w:p>
      <w:pPr>
        <w:jc w:val="both"/>
      </w:pPr>
      <w:r>
        <w:t xml:space="preserve">2.4. В случае,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требований:</w:t>
      </w:r>
      <w:r/>
    </w:p>
    <w:p>
      <w:pPr>
        <w:jc w:val="both"/>
      </w:pPr>
      <w:r>
        <w:t xml:space="preserve">- заявка должна включать документы, подтверждающие соответствие коллективного участника установленным требованиям;</w:t>
      </w:r>
      <w:r/>
    </w:p>
    <w:p>
      <w:pPr>
        <w:jc w:val="both"/>
      </w:pPr>
      <w:r>
        <w:t xml:space="preserve">- заявка подготавливается и подается лидером от своего имени со ссылкой на то, что он представляет интересы коллективного участника;</w:t>
      </w:r>
      <w:r/>
    </w:p>
    <w:p>
      <w:pPr>
        <w:jc w:val="both"/>
      </w:pPr>
      <w:r>
        <w:t xml:space="preserve">- в состав заявки дополнительно включается соглашение между членами коллективного участника.</w:t>
      </w:r>
      <w:r/>
    </w:p>
    <w:p>
      <w:pPr>
        <w:jc w:val="both"/>
      </w:pPr>
      <w:r>
        <w:t xml:space="preserve">2.5.</w:t>
      </w:r>
      <w:r>
        <w:rPr>
          <w:color w:val="ff0000"/>
        </w:rPr>
        <w:t xml:space="preserve"> </w:t>
      </w:r>
      <w:r>
        <w:t xml:space="preserve">В случае участия в закупке коллективного участника (группы лиц) при оценке соответствия заявки отбор</w:t>
      </w:r>
      <w:r>
        <w:t xml:space="preserve">очным критериям (требованиям) каждый член коллективного участника должен отвечать условиям извещения о закупке и (или) документации о закупке в части требований, не подлежащих суммированию (наличию гражданской правоспособности в полном объеме, не нахождени</w:t>
      </w:r>
      <w:r>
        <w:t xml:space="preserve">я в процессе ликвидации, отсутствия в реестре недобросовестных поставщиков и т.п.). Количественные параметры деятельности каждого члена коллективного участника суммируются. При установлении требований по наличию специальной правоспособности (например, нали</w:t>
      </w:r>
      <w:r>
        <w:t xml:space="preserve">чие лицензий и иных специальных разрешительных документов) соответствие установленным в извещении о закупке и (или) документации о закупке требованиям оценивается в соответствии с распределением поставок, работ, услуг между членами коллективного участника.</w:t>
      </w:r>
      <w:r/>
    </w:p>
    <w:p>
      <w:pPr>
        <w:jc w:val="both"/>
        <w:rPr>
          <w:b/>
          <w:bCs/>
          <w:highlight w:val="white"/>
        </w:rPr>
        <w:outlineLvl w:val="2"/>
      </w:pPr>
      <w:r>
        <w:t xml:space="preserve">2.6. Участник закупки вправе привлечь к исполнению договора соисполнителей (субподр</w:t>
      </w:r>
      <w:r>
        <w:t xml:space="preserve">ядчиков, субпоставщиков)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договора, а также если это не запрещено разделами 6 и/или 7 </w:t>
      </w:r>
      <w:r>
        <w:rPr>
          <w:highlight w:val="white"/>
        </w:rPr>
        <w:t xml:space="preserve">настоящего извещения.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jc w:val="both"/>
        <w:tabs>
          <w:tab w:val="left" w:pos="0" w:leader="none"/>
        </w:tabs>
        <w:rPr>
          <w:highlight w:val="white"/>
        </w:rPr>
      </w:pPr>
      <w:r>
        <w:rPr>
          <w:highlight w:val="white"/>
        </w:rPr>
        <w:t xml:space="preserve">2.7. Количество файлов заявки участника с </w:t>
      </w:r>
      <w:r>
        <w:rPr>
          <w:highlight w:val="white"/>
        </w:rPr>
        <w:t xml:space="preserve">графическими образами оригиналов документов должно соответствовать количеству документов, описанных и представляемых участником закупки в составе заявки на участие в закупке (один документ – один файл), предпочтительный формат файлов - многостраничный PDF.</w:t>
      </w:r>
      <w:r>
        <w:rPr>
          <w:highlight w:val="white"/>
        </w:rPr>
      </w:r>
      <w:r>
        <w:rPr>
          <w:highlight w:val="white"/>
        </w:rPr>
      </w:r>
    </w:p>
    <w:p>
      <w:pPr>
        <w:jc w:val="both"/>
        <w:tabs>
          <w:tab w:val="left" w:pos="0" w:leader="none"/>
        </w:tabs>
        <w:rPr>
          <w:highlight w:val="white"/>
        </w:rPr>
      </w:pPr>
      <w:r>
        <w:rPr>
          <w:highlight w:val="white"/>
        </w:rPr>
        <w:t xml:space="preserve">2.8. Наименования файлов в составе заявки участника должно соответствовать наименованиям форм и документов, указанным в пункте 2.2 настоящего извещения о закупке.</w:t>
      </w:r>
      <w:r>
        <w:rPr>
          <w:highlight w:val="white"/>
        </w:rPr>
      </w:r>
      <w:r>
        <w:rPr>
          <w:highlight w:val="white"/>
        </w:rPr>
      </w:r>
    </w:p>
    <w:p>
      <w:pPr>
        <w:jc w:val="both"/>
        <w:tabs>
          <w:tab w:val="left" w:pos="0" w:leader="none"/>
        </w:tabs>
        <w:rPr>
          <w:highlight w:val="white"/>
        </w:rPr>
      </w:pPr>
      <w:r>
        <w:rPr>
          <w:highlight w:val="white"/>
        </w:rPr>
        <w:t xml:space="preserve">2.9. Если формой или документом, указанным в пункте 2.2 настоящего</w:t>
      </w:r>
      <w:r>
        <w:rPr>
          <w:highlight w:val="white"/>
        </w:rPr>
        <w:t xml:space="preserve"> извещения о закупке, предусмотрено предоставление приложений к требуемой форме или нескольких документов, то такие документы в составе заявки участника (форма и приложения) упаковываются в архивный файл с наименованием, соответствующим наименованию формы.</w:t>
      </w:r>
      <w:r>
        <w:rPr>
          <w:highlight w:val="white"/>
        </w:rPr>
      </w:r>
      <w:r>
        <w:rPr>
          <w:highlight w:val="white"/>
        </w:rPr>
      </w:r>
    </w:p>
    <w:p>
      <w:pPr>
        <w:pStyle w:val="964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highlight w:val="white"/>
        </w:rPr>
      </w:r>
      <w:bookmarkStart w:id="8" w:name="_Ref536541397"/>
      <w:r>
        <w:rPr>
          <w:rFonts w:ascii="Times New Roman" w:hAnsi="Times New Roman"/>
          <w:sz w:val="24"/>
          <w:szCs w:val="24"/>
          <w:highlight w:val="white"/>
        </w:rPr>
        <w:t xml:space="preserve">Порядок проведения закупки (этапов закупки), подведения итогов закупки</w:t>
      </w:r>
      <w:bookmarkEnd w:id="8"/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numPr>
          <w:ilvl w:val="1"/>
          <w:numId w:val="3"/>
        </w:numPr>
        <w:ind w:left="0" w:firstLine="0"/>
        <w:jc w:val="both"/>
        <w:rPr>
          <w:highlight w:val="white"/>
        </w:rPr>
      </w:pPr>
      <w:r>
        <w:rPr>
          <w:highlight w:val="white"/>
        </w:rPr>
        <w:t xml:space="preserve">Заявки участников рассматриваются в соответствии с требованиями, установленными извещением о закупке, на основан</w:t>
      </w:r>
      <w:r>
        <w:rPr>
          <w:highlight w:val="white"/>
        </w:rPr>
        <w:t xml:space="preserve">ии представленных в составе заявок сведений и документов, а также иных источников информации, предусмотренных извещением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>
        <w:rPr>
          <w:highlight w:val="white"/>
        </w:rPr>
      </w:r>
      <w:r>
        <w:rPr>
          <w:highlight w:val="white"/>
        </w:rPr>
      </w:r>
    </w:p>
    <w:p>
      <w:pPr>
        <w:numPr>
          <w:ilvl w:val="1"/>
          <w:numId w:val="3"/>
        </w:numPr>
        <w:ind w:left="0" w:firstLine="0"/>
        <w:jc w:val="both"/>
      </w:pPr>
      <w:r>
        <w:rPr>
          <w:highlight w:val="white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извещении о закупке. Требов</w:t>
      </w:r>
      <w:r>
        <w:rPr>
          <w:highlight w:val="white"/>
        </w:rPr>
        <w:t xml:space="preserve">ания, предъявляемые к участникам закупки,</w:t>
      </w:r>
      <w:r>
        <w:t xml:space="preserve">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В рамках рассмотрения заявок закупочная комиссия</w:t>
      </w:r>
      <w:r>
        <w:t xml:space="preserve"> вправе направить участнику закупки запрос на разъяснение положений заявки участника. При этом Заказчик направляет участнику запрос через функционал ЭП, либо на электронный адрес главного пользователя участника, указанный в информации об организации на ЭП.</w:t>
      </w:r>
      <w:r/>
    </w:p>
    <w:p>
      <w:pPr>
        <w:ind w:firstLine="567"/>
        <w:jc w:val="both"/>
      </w:pPr>
      <w:r>
        <w:t xml:space="preserve">После направления Заказчиком запроса, участник закупки не позднее срока, установленного Заказчиком в</w:t>
      </w:r>
      <w:r>
        <w:t xml:space="preserve"> рамках запроса, обязан направить требуемую информацию через функционал ЭП, либо на электронный адрес Заказчика, с которого был направлен запрос или указанный в запросе. В направляемом сообщении участник должен указать в теме письма номер процедуры на ЭП. </w:t>
      </w:r>
      <w:r/>
    </w:p>
    <w:p>
      <w:pPr>
        <w:ind w:firstLine="567"/>
        <w:jc w:val="both"/>
      </w:pPr>
      <w:r>
        <w:t xml:space="preserve">Срок запроса устанавливается Заказчиком одинаково для всех участников закупки, которым направляется запрос.</w:t>
      </w:r>
      <w:r/>
    </w:p>
    <w:p>
      <w:pPr>
        <w:ind w:firstLine="567"/>
        <w:jc w:val="both"/>
      </w:pPr>
      <w:r>
        <w:t xml:space="preserve">Направляемые файлы должны быть названы таким образом, чтобы было понятно, для устранения какого замечания приложен документ. При этом все возможные риски отклонения заявки и ответственность, связанные с несвоевременным предоставлением</w:t>
      </w:r>
      <w:r>
        <w:t xml:space="preserve"> разъяснений по запросу Заказчика, несет участник. Разъяснения, поступившие в ответ на запрос после истечения указанного в нем срока, Заказчик вправе не принимать, а Закупочная комиссия не рассматривать и не учитывать при принятии решений в рамках закупки.</w:t>
      </w:r>
      <w:r/>
    </w:p>
    <w:p>
      <w:pPr>
        <w:jc w:val="both"/>
      </w:pPr>
      <w:r>
        <w:t xml:space="preserve">Не принимаются к рассмотрению докум</w:t>
      </w:r>
      <w:r>
        <w:t xml:space="preserve">енты и сведения, направленные участником в ходе исполнения запроса, которые изменяют существо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Закупочная комиссия отклоняет заявку участника в случаях, если:</w:t>
      </w:r>
      <w:r/>
    </w:p>
    <w:p>
      <w:pPr>
        <w:numPr>
          <w:ilvl w:val="0"/>
          <w:numId w:val="4"/>
        </w:numPr>
        <w:ind w:left="709" w:hanging="283"/>
        <w:jc w:val="both"/>
      </w:pPr>
      <w:r>
        <w:t xml:space="preserve">участник не соответствует требованиям к участнику закупки, установленным извещением о закупке, в том числе если сведения об уч</w:t>
      </w:r>
      <w:r>
        <w:t xml:space="preserve">астнике закупки или привлекаемом участником закупки субподрядчике (соисполнителе) из числа субъектов МСП (в случае установления требования о привлечении такого субподрядчика (соисполнителя) в извещении о закупке) отсутствуют в едином реестре субъектов МСП;</w:t>
      </w:r>
      <w:r/>
    </w:p>
    <w:p>
      <w:pPr>
        <w:numPr>
          <w:ilvl w:val="0"/>
          <w:numId w:val="4"/>
        </w:numPr>
        <w:ind w:left="709" w:hanging="283"/>
        <w:jc w:val="both"/>
      </w:pPr>
      <w:r>
        <w:t xml:space="preserve">заявка участника не соответствует требовани</w:t>
      </w:r>
      <w:r>
        <w:t xml:space="preserve">ям, установленным в извещении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в извещении о закупке);</w:t>
      </w:r>
      <w:r/>
    </w:p>
    <w:p>
      <w:pPr>
        <w:numPr>
          <w:ilvl w:val="0"/>
          <w:numId w:val="4"/>
        </w:numPr>
        <w:ind w:left="709" w:hanging="283"/>
        <w:jc w:val="both"/>
      </w:pPr>
      <w:r>
        <w:t xml:space="preserve">участник закупки предоставил недостоверную информацию (сведения) в составе своей заявки, в том числе в отношении своего соответствия требованиям, установленным в извещении о закупке.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Закупочная комиссия вправе отклонить заявки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Заказчик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заявке, а также проводить выездные проверки.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На основании результатов рассмотрения заявок на участие в закупке закупочной комиссией принимается решение: </w:t>
      </w:r>
      <w:r/>
    </w:p>
    <w:p>
      <w:pPr>
        <w:numPr>
          <w:ilvl w:val="0"/>
          <w:numId w:val="5"/>
        </w:numPr>
        <w:ind w:left="0" w:firstLine="426"/>
        <w:jc w:val="both"/>
      </w:pPr>
      <w:r>
        <w:t xml:space="preserve">о признании участника и/или заявки участника соответствующей требованиям извещения о закупке;</w:t>
      </w:r>
      <w:r/>
    </w:p>
    <w:p>
      <w:pPr>
        <w:numPr>
          <w:ilvl w:val="0"/>
          <w:numId w:val="5"/>
        </w:numPr>
        <w:ind w:left="0" w:firstLine="426"/>
        <w:jc w:val="both"/>
      </w:pPr>
      <w:r>
        <w:t xml:space="preserve">о признании участника и/или заявки участника несоответствующими требованиям извещения о закупке и отклонении заявки участника от участия в закупке.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Результаты рассмот</w:t>
      </w:r>
      <w:r>
        <w:t xml:space="preserve">рения заявок участников указываются в итоговом протоколе, в котором в том числе указываются основания отклонения каждой заявки на участие в закупке (в случае принятия Закупочной комиссией соответствующего решения) с указанием положений извещения о закупке.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Рассмотрение ценовых предложений осуществляется в части соответствия требованиям извещения о закупке, в части непревышения ценового предложения участника начальной (максимальной) цены догово</w:t>
      </w:r>
      <w:r>
        <w:t xml:space="preserve">ра, в части соблюдения требований по предоставлению преимущества, предусмотренного ПП № 1875 и др. Цена договора, предлагаемая участником закупки, не может превышать начальную (максимальную) цену договора, при этом в случае, если участник закупки находится</w:t>
      </w:r>
      <w:r>
        <w:t xml:space="preserve">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r/>
    </w:p>
    <w:p>
      <w:pPr>
        <w:numPr>
          <w:ilvl w:val="1"/>
          <w:numId w:val="3"/>
        </w:numPr>
        <w:ind w:left="0" w:firstLine="0"/>
        <w:jc w:val="both"/>
        <w:rPr>
          <w:b/>
        </w:rPr>
      </w:pPr>
      <w:r>
        <w:rPr>
          <w:b/>
          <w:bCs/>
        </w:rPr>
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</w:r>
      <w:r>
        <w:rPr>
          <w:b/>
        </w:rPr>
      </w:r>
      <w:r>
        <w:rPr>
          <w:b/>
        </w:rPr>
      </w:r>
    </w:p>
    <w:p>
      <w:pPr>
        <w:pStyle w:val="943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Установленные настоящим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пунктом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требования к дополнительному обеспечению 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применяются Заказчиком только в том случае, если аналогичные требования содержатся в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разделе 6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 «ПРОЕКТ ДОГОВОРА» настояще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го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извещения 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о закупке.</w:t>
      </w:r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pStyle w:val="943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color w:val="000000" w:themeColor="text1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Под аномально низким ценовым предложением понимается снижение цены участником закупки относительно начальной (максимальной) цены договора, указанной в извещении о закупке, на 25 (двадцать пять) и более процентов.</w:t>
      </w:r>
      <w:r>
        <w:rPr>
          <w:rFonts w:ascii="Times New Roman" w:hAnsi="Times New Roman"/>
          <w:b w:val="0"/>
          <w:color w:val="000000" w:themeColor="text1"/>
        </w:rPr>
      </w:r>
      <w:r>
        <w:rPr>
          <w:rFonts w:ascii="Times New Roman" w:hAnsi="Times New Roman"/>
          <w:b w:val="0"/>
          <w:color w:val="000000" w:themeColor="text1"/>
        </w:rPr>
      </w:r>
    </w:p>
    <w:p>
      <w:pPr>
        <w:pStyle w:val="943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  <w:color w:val="000000" w:themeColor="text1"/>
          <w:u w:val="single"/>
        </w:rPr>
      </w:pP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lang w:val="ru-RU"/>
        </w:rPr>
        <w:t xml:space="preserve">При расчете размера процента снижения для определения аномально низкой цены предложения участника, </w:t>
      </w:r>
      <w:r>
        <w:rPr>
          <w:rFonts w:ascii="Times New Roman" w:hAnsi="Times New Roman"/>
          <w:b w:val="0"/>
          <w:sz w:val="24"/>
          <w:szCs w:val="24"/>
        </w:rPr>
        <w:t xml:space="preserve">с которым планируется заключить д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оговор,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 используется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lang w:val="ru-RU"/>
        </w:rPr>
        <w:t xml:space="preserve">установленная в извещении о закупке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u w:val="single"/>
          <w:lang w:val="ru-RU"/>
        </w:rPr>
        <w:t xml:space="preserve">начальная (максимальная) цена договора, </w:t>
      </w:r>
      <w:r>
        <w:rPr>
          <w:rFonts w:ascii="Times New Roman" w:hAnsi="Times New Roman"/>
          <w:color w:val="000000" w:themeColor="text1"/>
          <w:sz w:val="24"/>
          <w:szCs w:val="24"/>
          <w:u w:val="single"/>
          <w:lang w:val="ru-RU"/>
        </w:rPr>
        <w:t xml:space="preserve">включая все налоги и сборы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lang w:val="ru-RU"/>
        </w:rPr>
        <w:t xml:space="preserve"> (для всех участников закупки - независимо от применяемой ими системы налогообложения) и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u w:val="single"/>
          <w:lang w:val="ru-RU"/>
        </w:rPr>
        <w:t xml:space="preserve">значение цены участника, с которым планируется заключить договор, </w:t>
      </w:r>
      <w:r>
        <w:rPr>
          <w:rFonts w:ascii="Times New Roman" w:hAnsi="Times New Roman"/>
          <w:sz w:val="24"/>
          <w:szCs w:val="24"/>
          <w:u w:val="single"/>
        </w:rPr>
        <w:t xml:space="preserve">с учетом всех налогов и сборов</w:t>
      </w:r>
      <w:r>
        <w:rPr>
          <w:rFonts w:ascii="Times New Roman" w:hAnsi="Times New Roman"/>
          <w:b w:val="0"/>
          <w:sz w:val="24"/>
          <w:szCs w:val="24"/>
          <w:u w:val="single"/>
        </w:rPr>
        <w:t xml:space="preserve">.</w:t>
      </w:r>
      <w:r>
        <w:rPr>
          <w:rFonts w:ascii="Times New Roman" w:hAnsi="Times New Roman"/>
          <w:b w:val="0"/>
          <w:bCs w:val="0"/>
          <w:color w:val="000000" w:themeColor="text1"/>
          <w:u w:val="single"/>
        </w:rPr>
      </w:r>
      <w:r>
        <w:rPr>
          <w:rFonts w:ascii="Times New Roman" w:hAnsi="Times New Roman"/>
          <w:b w:val="0"/>
          <w:bCs w:val="0"/>
          <w:color w:val="000000" w:themeColor="text1"/>
          <w:u w:val="single"/>
        </w:rPr>
      </w:r>
    </w:p>
    <w:p>
      <w:pPr>
        <w:pStyle w:val="943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</w:rPr>
      </w:pPr>
      <w:r/>
      <w:bookmarkStart w:id="9" w:name="undefined"/>
      <w:r>
        <w:rPr>
          <w:rFonts w:ascii="Times New Roman" w:hAnsi="Times New Roman"/>
          <w:b w:val="0"/>
          <w:sz w:val="24"/>
          <w:szCs w:val="24"/>
        </w:rPr>
        <w:t xml:space="preserve">В случае если при проведении закупки победителем (либо единственным участником, признанным соответствующим требованиям извещения о </w:t>
      </w:r>
      <w:r>
        <w:rPr>
          <w:rFonts w:ascii="Times New Roman" w:hAnsi="Times New Roman"/>
          <w:b w:val="0"/>
          <w:sz w:val="24"/>
          <w:szCs w:val="24"/>
        </w:rPr>
        <w:t xml:space="preserve">закупке, с которым планируется заключить договор) признается участник, предложивший аномально низкое ценовое предложение,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9"/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</w:r>
    </w:p>
    <w:tbl>
      <w:tblPr>
        <w:tblStyle w:val="978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1701"/>
        <w:gridCol w:w="1842"/>
        <w:gridCol w:w="4536"/>
      </w:tblGrid>
      <w:tr>
        <w:tblPrEx/>
        <w:trPr/>
        <w:tc>
          <w:tcPr>
            <w:shd w:val="clear" w:color="ffffff" w:themeColor="background1" w:fill="ffffff" w:themeFill="background1"/>
            <w:tcW w:w="2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3"/>
            <w:shd w:val="clear" w:color="ffffff" w:themeColor="background1" w:fill="ffffff" w:themeFill="background1"/>
            <w:tcW w:w="5386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Матрица договорных условий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Требуемый размер обеспечения (в виде независимой гарантии либо обеспечительного платежа на исполнение обязательств по договору)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874"/>
        </w:trPr>
        <w:tc>
          <w:tcPr>
            <w:tcW w:w="284" w:type="dxa"/>
            <w:vMerge w:val="continue"/>
            <w:textDirection w:val="lrTb"/>
            <w:noWrap w:val="false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исполнения обязательств по договору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Авансирование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 возврата авансового платежа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4536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обязательств по договору в размере 3% (три процента)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договора в 1,5 (полтора) раза, но не более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при этом отдельное обеспечение на возврат авансовых платежей не предоставляется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договора, при этом отдельное обеспечение на возврат авансовых платежей не предоставляется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943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4"/>
          <w:szCs w:val="24"/>
        </w:rPr>
        <w:t xml:space="preserve">Обеспечение исполнения обязательств по договору может быть представлено в форме внесения денежных средств на счет Заказчика (обеспечи</w:t>
      </w:r>
      <w:r>
        <w:rPr>
          <w:rFonts w:ascii="Times New Roman" w:hAnsi="Times New Roman"/>
          <w:b w:val="0"/>
          <w:sz w:val="24"/>
          <w:szCs w:val="24"/>
        </w:rPr>
        <w:t xml:space="preserve">тельного платежа) или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извещении о закупке способом не допускается.</w: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</w:r>
    </w:p>
    <w:p>
      <w:pPr>
        <w:pStyle w:val="943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  <w:color w:val="000000" w:themeColor="text1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Обеспечение исполнения договора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предо</w:t>
      </w:r>
      <w:r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ставляется на пери</w:t>
      </w:r>
      <w:r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  <w:r>
        <w:rPr>
          <w:rFonts w:ascii="Times New Roman" w:hAnsi="Times New Roman"/>
          <w:b w:val="0"/>
          <w:bCs w:val="0"/>
          <w:color w:val="000000" w:themeColor="text1"/>
        </w:rPr>
      </w:r>
      <w:r>
        <w:rPr>
          <w:rFonts w:ascii="Times New Roman" w:hAnsi="Times New Roman"/>
          <w:b w:val="0"/>
          <w:bCs w:val="0"/>
          <w:color w:val="000000" w:themeColor="text1"/>
        </w:rPr>
      </w:r>
    </w:p>
    <w:p>
      <w:pPr>
        <w:pStyle w:val="943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4"/>
          <w:szCs w:val="24"/>
        </w:rPr>
        <w:t xml:space="preserve">Срок предоставления победителем (либо единственным участником, признанным соответствующим требованиям извещения о закупке,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с которым планируется заключить договор</w:t>
      </w:r>
      <w:r>
        <w:rPr>
          <w:rFonts w:ascii="Times New Roman" w:hAnsi="Times New Roman"/>
          <w:b w:val="0"/>
          <w:sz w:val="24"/>
          <w:szCs w:val="24"/>
        </w:rPr>
        <w:t xml:space="preserve">) обеспечения исполнение договора – </w:t>
      </w:r>
      <w:r>
        <w:rPr>
          <w:rFonts w:ascii="Times New Roman" w:hAnsi="Times New Roman"/>
          <w:sz w:val="24"/>
          <w:szCs w:val="24"/>
          <w:u w:val="single"/>
        </w:rPr>
        <w:t xml:space="preserve">не позднее 10 рабочих дней с даты размещения в единой информационной системе итогового протокола</w:t>
      </w:r>
      <w:r>
        <w:rPr>
          <w:rFonts w:ascii="Times New Roman" w:hAnsi="Times New Roman"/>
          <w:bCs w:val="0"/>
          <w:sz w:val="24"/>
          <w:szCs w:val="24"/>
          <w:u w:val="single"/>
        </w:rPr>
        <w:t xml:space="preserve">.</w: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</w:r>
    </w:p>
    <w:p>
      <w:pPr>
        <w:pStyle w:val="943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4"/>
          <w:szCs w:val="24"/>
        </w:rPr>
        <w:t xml:space="preserve">В случае принятия участником закупки решения о предоставлении обеспечение исполнения обязательств по договору в форме денежных средств (обеспечительного платежа), такие средства перечисляются на расчетный счет Заказчика по следующим реквизитам:</w: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</w:r>
    </w:p>
    <w:p>
      <w:pPr>
        <w:ind w:firstLine="567"/>
        <w:jc w:val="both"/>
        <w:widowControl w:val="off"/>
      </w:pPr>
      <w:r>
        <w:t xml:space="preserve">Получатель: АО «Россети Сибирь Тываэнерго»</w:t>
      </w:r>
      <w:r/>
    </w:p>
    <w:p>
      <w:pPr>
        <w:ind w:firstLine="567"/>
        <w:jc w:val="both"/>
        <w:widowControl w:val="off"/>
      </w:pPr>
      <w:r>
        <w:t xml:space="preserve">667001, Республика Тыва, г.Кызыл, ул. Рабочая, 4 (394-22) 9-85-00</w:t>
      </w:r>
      <w:r/>
    </w:p>
    <w:p>
      <w:pPr>
        <w:ind w:firstLine="567"/>
        <w:jc w:val="both"/>
        <w:widowControl w:val="off"/>
      </w:pPr>
      <w:r>
        <w:t xml:space="preserve">ИНН 1701029232  </w:t>
      </w:r>
      <w:r/>
    </w:p>
    <w:p>
      <w:pPr>
        <w:ind w:firstLine="567"/>
        <w:jc w:val="both"/>
        <w:widowControl w:val="off"/>
      </w:pPr>
      <w:r>
        <w:t xml:space="preserve">КПП 170101001</w:t>
      </w:r>
      <w:r/>
    </w:p>
    <w:p>
      <w:pPr>
        <w:ind w:firstLine="567"/>
        <w:jc w:val="both"/>
        <w:widowControl w:val="off"/>
      </w:pPr>
      <w:r>
        <w:t xml:space="preserve">ОГРН 1021700509566     </w:t>
      </w:r>
      <w:r/>
    </w:p>
    <w:p>
      <w:pPr>
        <w:ind w:firstLine="567"/>
        <w:jc w:val="both"/>
        <w:widowControl w:val="off"/>
      </w:pPr>
      <w:r>
        <w:t xml:space="preserve">ОКПО 40871124 </w:t>
      </w:r>
      <w:r/>
    </w:p>
    <w:p>
      <w:pPr>
        <w:ind w:firstLine="567"/>
        <w:jc w:val="both"/>
        <w:widowControl w:val="off"/>
      </w:pPr>
      <w:r>
        <w:t xml:space="preserve">ОКВЭД 35.12 </w:t>
      </w:r>
      <w:r/>
    </w:p>
    <w:p>
      <w:pPr>
        <w:ind w:firstLine="567"/>
        <w:jc w:val="both"/>
        <w:widowControl w:val="off"/>
      </w:pPr>
      <w:r>
        <w:t xml:space="preserve">ОКАТО 93401000000 </w:t>
      </w:r>
      <w:r/>
    </w:p>
    <w:p>
      <w:pPr>
        <w:ind w:firstLine="567"/>
        <w:jc w:val="both"/>
        <w:widowControl w:val="off"/>
      </w:pPr>
      <w:r>
        <w:t xml:space="preserve">ОКФС 16 ОКОПФ 12267 </w:t>
      </w:r>
      <w:r/>
    </w:p>
    <w:p>
      <w:pPr>
        <w:ind w:firstLine="567"/>
        <w:jc w:val="both"/>
        <w:widowControl w:val="off"/>
      </w:pPr>
      <w:r>
        <w:t xml:space="preserve">КРАСНОЯРСКОЕ ОТДЕЛЕНИЕ N 8646 ПАО СБЕРБАНК</w:t>
      </w:r>
      <w:r/>
    </w:p>
    <w:p>
      <w:pPr>
        <w:ind w:firstLine="567"/>
        <w:jc w:val="both"/>
        <w:widowControl w:val="off"/>
      </w:pPr>
      <w:r>
        <w:t xml:space="preserve">БИК 040407627</w:t>
      </w:r>
      <w:r/>
    </w:p>
    <w:p>
      <w:pPr>
        <w:ind w:firstLine="567"/>
        <w:jc w:val="both"/>
        <w:widowControl w:val="off"/>
      </w:pPr>
      <w:r>
        <w:t xml:space="preserve">к/с 30101810800000000627</w:t>
      </w:r>
      <w:r/>
    </w:p>
    <w:p>
      <w:pPr>
        <w:ind w:firstLine="567"/>
        <w:jc w:val="both"/>
        <w:widowControl w:val="off"/>
        <w:rPr>
          <w:sz w:val="26"/>
          <w:szCs w:val="26"/>
        </w:rPr>
      </w:pPr>
      <w:r>
        <w:t xml:space="preserve">р/сч 40702810865000001852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shd w:val="clear" w:color="ffffff" w:themeColor="background1" w:fill="ffffff" w:themeFill="background1"/>
        <w:widowControl w:val="off"/>
      </w:pPr>
      <w:r>
        <w:t xml:space="preserve">В платежном поручении в графе «наименование платежа» необходимо указать «</w:t>
      </w:r>
      <w:r>
        <w:rPr>
          <w:b/>
        </w:rPr>
        <w:t xml:space="preserve">Обеспечение исполнения обязательств по договору </w:t>
      </w:r>
      <w:r>
        <w:rPr>
          <w:i/>
        </w:rPr>
        <w:t xml:space="preserve">(указать наименование)</w:t>
      </w:r>
      <w:r>
        <w:rPr>
          <w:b/>
        </w:rPr>
        <w:t xml:space="preserve">, закупка в ЕИС № </w:t>
      </w:r>
      <w:r>
        <w:rPr>
          <w:i/>
        </w:rPr>
        <w:t xml:space="preserve">(указать номер)»</w:t>
      </w:r>
      <w:r>
        <w:t xml:space="preserve">, а также «НДС не облагается».</w:t>
      </w:r>
      <w:r/>
    </w:p>
    <w:p>
      <w:pPr>
        <w:pStyle w:val="943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943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В случае принятия решения о предоставлении обеспечение исполнения обязательств по договору в форме 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независимой</w:t>
      </w:r>
      <w:r>
        <w:rPr>
          <w:rFonts w:ascii="Times New Roman" w:hAnsi="Times New Roman"/>
          <w:b w:val="0"/>
          <w:sz w:val="24"/>
          <w:szCs w:val="24"/>
        </w:rPr>
        <w:t xml:space="preserve"> гарантии, такая гарантия, а также гарант должны соответствовать следующим требованиям:</w:t>
      </w:r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pStyle w:val="943"/>
        <w:numPr>
          <w:ilvl w:val="3"/>
          <w:numId w:val="3"/>
        </w:numPr>
        <w:ind w:left="0" w:firstLine="36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При выборе участником закупки способа обеспечения исполнения договора в форме 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независимой</w:t>
      </w:r>
      <w:r>
        <w:rPr>
          <w:rFonts w:ascii="Times New Roman" w:hAnsi="Times New Roman"/>
          <w:b w:val="0"/>
          <w:sz w:val="24"/>
          <w:szCs w:val="24"/>
        </w:rPr>
        <w:t xml:space="preserve"> гарантии участник должен предоставить 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независимую</w:t>
      </w:r>
      <w:r>
        <w:rPr>
          <w:rFonts w:ascii="Times New Roman" w:hAnsi="Times New Roman"/>
          <w:b w:val="0"/>
          <w:sz w:val="24"/>
          <w:szCs w:val="24"/>
        </w:rPr>
        <w:t xml:space="preserve"> гарантию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 w:eastAsia="ru-RU"/>
        </w:rPr>
        <w:t xml:space="preserve">по форме, установленной разделом 5 «ОБРАЗЦЫ ФОРМ, ДЛЯ ЗАПОЛНЕНИЯ УЧАСТНИКАМИ ЗАКУПКИ»</w:t>
      </w:r>
      <w:r>
        <w:rPr>
          <w:rFonts w:ascii="Times New Roman" w:hAnsi="Times New Roman"/>
          <w:b w:val="0"/>
          <w:sz w:val="24"/>
          <w:szCs w:val="24"/>
        </w:rPr>
        <w:t xml:space="preserve">, составленную с учетом требований статей 368-379 Гражданского кодекса Российской Федерации и следующих условий: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962"/>
        <w:numPr>
          <w:ilvl w:val="0"/>
          <w:numId w:val="43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независимая гарантия должна быть безусловной и безотзывной;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62"/>
        <w:numPr>
          <w:ilvl w:val="0"/>
          <w:numId w:val="43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календарных дней после планируемой да</w:t>
      </w:r>
      <w:r>
        <w:rPr>
          <w:color w:val="000000" w:themeColor="text1"/>
        </w:rPr>
        <w:t xml:space="preserve">ты исполнения контрагентом обязательств, обеспеченных независимой гарантией. В случае, когда срок исполнения обязательства по Договору превышает 1 год, по согласованию с Заказчиком, допускается предоставление независимой гарантии на часть указанного срока.</w:t>
      </w:r>
      <w:r>
        <w:rPr>
          <w:color w:val="000000" w:themeColor="text1"/>
        </w:rPr>
        <w:t xml:space="preserve"> В этом случае, срок действия независимой гарантии не должен быть менее 1 года с даты вступления ее в силу. При этом контрагент обязан обеспечить продление продлению либо замену такой независимой гарантии не позднее, чем за 60 дней до окончания срока ее де</w:t>
      </w:r>
      <w:r>
        <w:rPr>
          <w:color w:val="000000" w:themeColor="text1"/>
        </w:rPr>
        <w:t xml:space="preserve">йствия. В случае заключения долгосрочного (на срок более 1 года) договора, предусматривающего ежегодное согласование объема товара/работ/услуг на последующие годы, допускается принятие независимой гарантии на сумму товаров/работ/услуг первого года, предусм</w:t>
      </w:r>
      <w:r>
        <w:rPr>
          <w:color w:val="000000" w:themeColor="text1"/>
        </w:rPr>
        <w:t xml:space="preserve">отренных договором, с обязательством предоставления обеспечения при согласовании объема товаров/работ/услуг на последующий год (в отношении независимой гарантии, включающей обеспечение в том числе гарантийных обязательств по договору, принятие обеспечения </w:t>
      </w:r>
      <w:r>
        <w:rPr>
          <w:bCs/>
          <w:color w:val="000000" w:themeColor="text1"/>
          <w:lang w:eastAsia="en-US"/>
        </w:rPr>
        <w:t xml:space="preserve">по отдельности для каждого из этапов</w:t>
      </w:r>
      <w:r>
        <w:rPr>
          <w:color w:val="000000" w:themeColor="text1"/>
        </w:rPr>
        <w:t xml:space="preserve"> </w:t>
      </w:r>
      <w:r>
        <w:rPr>
          <w:bCs/>
          <w:color w:val="000000" w:themeColor="text1"/>
          <w:lang w:eastAsia="en-US"/>
        </w:rPr>
        <w:t xml:space="preserve">(единицы, партии продукции) </w:t>
      </w:r>
      <w:r>
        <w:rPr>
          <w:color w:val="000000" w:themeColor="text1"/>
        </w:rPr>
        <w:t xml:space="preserve">допускается только в случае одновременного соблюдения следующих условий:</w:t>
      </w:r>
      <w:r>
        <w:rPr>
          <w:color w:val="000000" w:themeColor="text1"/>
          <w:lang w:eastAsia="en-US"/>
        </w:rPr>
        <w:t xml:space="preserve"> если долгосрочный (на срок более 1 года) договор предусматривает самостоятельный гарантийный срок на р</w:t>
      </w:r>
      <w:r>
        <w:rPr>
          <w:color w:val="000000" w:themeColor="text1"/>
          <w:lang w:eastAsia="en-US"/>
        </w:rPr>
        <w:t xml:space="preserve">езультат по отдельному этапу (на единицу, партию продукции), итоговым документом, подтверждающим исполнение контрагентом обязательств по договору в полном объеме, не является акт ввода в эксплуатацию законченного строительством объекта приемочной комиссией</w:t>
      </w:r>
      <w:r>
        <w:rPr>
          <w:color w:val="000000" w:themeColor="text1"/>
        </w:rPr>
        <w:t xml:space="preserve">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62"/>
        <w:numPr>
          <w:ilvl w:val="0"/>
          <w:numId w:val="43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допускается предоставление независимых гарантий, выданных в письменной форме на бумажном носителе или в форме электронного документа, подписанного усиленной квалифицированной электронной подписью (УКЭП).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43"/>
        <w:numPr>
          <w:ilvl w:val="3"/>
          <w:numId w:val="3"/>
        </w:numPr>
        <w:ind w:left="0" w:firstLine="36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Гарант, выдающий независимую гарантию, должен отвечать всем нижеследующим требованиям: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pStyle w:val="962"/>
        <w:numPr>
          <w:ilvl w:val="0"/>
          <w:numId w:val="47"/>
        </w:numPr>
        <w:ind w:left="0" w:firstLine="709"/>
        <w:jc w:val="both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должен обладать действующей лицензией на банковскую деятельность, выданной Банком России</w:t>
      </w:r>
      <w:r>
        <w:rPr>
          <w:bCs/>
          <w:sz w:val="20"/>
          <w:szCs w:val="20"/>
          <w:vertAlign w:val="superscript"/>
          <w:lang w:eastAsia="en-US"/>
        </w:rPr>
        <w:footnoteReference w:id="2"/>
      </w:r>
      <w:r>
        <w:rPr>
          <w:bCs/>
        </w:rPr>
        <w:t xml:space="preserve"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>
        <w:rPr>
          <w:bCs/>
          <w:sz w:val="20"/>
          <w:szCs w:val="20"/>
          <w:vertAlign w:val="superscript"/>
          <w:lang w:eastAsia="en-US"/>
        </w:rPr>
        <w:footnoteReference w:id="3"/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962"/>
        <w:numPr>
          <w:ilvl w:val="0"/>
          <w:numId w:val="47"/>
        </w:numPr>
        <w:ind w:left="0" w:firstLine="709"/>
        <w:jc w:val="both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не находится в процессе слияния, присоединения, санации (финансового оздоровления), внешнего управления, за исключением случаев, когда</w:t>
      </w:r>
      <w:r>
        <w:rPr>
          <w:bCs/>
        </w:rPr>
        <w:t xml:space="preserve">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  <w:r>
        <w:rPr>
          <w:bCs/>
        </w:rPr>
      </w:r>
      <w:r>
        <w:rPr>
          <w:bCs/>
        </w:rPr>
      </w:r>
    </w:p>
    <w:p>
      <w:pPr>
        <w:pStyle w:val="962"/>
        <w:numPr>
          <w:ilvl w:val="0"/>
          <w:numId w:val="47"/>
        </w:numPr>
        <w:ind w:left="0" w:firstLine="709"/>
        <w:jc w:val="both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не находится в процессе ликвидации или банкротства;</w:t>
      </w:r>
      <w:r>
        <w:rPr>
          <w:bCs/>
        </w:rPr>
      </w:r>
      <w:r>
        <w:rPr>
          <w:bCs/>
        </w:rPr>
      </w:r>
    </w:p>
    <w:p>
      <w:pPr>
        <w:pStyle w:val="962"/>
        <w:numPr>
          <w:ilvl w:val="0"/>
          <w:numId w:val="47"/>
        </w:numPr>
        <w:ind w:left="0" w:firstLine="709"/>
        <w:jc w:val="both"/>
        <w:tabs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>
        <w:rPr>
          <w:bCs/>
          <w:sz w:val="28"/>
          <w:szCs w:val="28"/>
          <w:vertAlign w:val="superscript"/>
          <w:lang w:eastAsia="en-US"/>
        </w:rPr>
        <w:footnoteReference w:id="4"/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962"/>
        <w:numPr>
          <w:ilvl w:val="0"/>
          <w:numId w:val="47"/>
        </w:numPr>
        <w:ind w:left="0" w:firstLine="709"/>
        <w:jc w:val="both"/>
        <w:tabs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свободный остаток лимита на банк-гарант, установленный организационно-распорядительными документами Публичного акционерного общества «Россети Сибирь», превышает либо равен сумме независимой гарантии, планируемой к принятию*</w:t>
      </w:r>
      <w:r>
        <w:rPr>
          <w:bCs/>
        </w:rPr>
      </w:r>
      <w:r>
        <w:rPr>
          <w:bCs/>
        </w:rPr>
      </w:r>
    </w:p>
    <w:p>
      <w:pPr>
        <w:pStyle w:val="962"/>
        <w:numPr>
          <w:ilvl w:val="0"/>
          <w:numId w:val="47"/>
        </w:numPr>
        <w:ind w:left="0" w:firstLine="709"/>
        <w:jc w:val="both"/>
        <w:tabs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должен соответствовать требованиям к банкам-гарантам в зависимости от вида предоставляемой независимой гарантии согласно таблице 1:</w:t>
      </w:r>
      <w:r>
        <w:rPr>
          <w:bCs/>
        </w:rPr>
      </w:r>
      <w:r>
        <w:rPr>
          <w:bCs/>
        </w:rPr>
      </w:r>
    </w:p>
    <w:p>
      <w:pPr>
        <w:ind w:firstLine="709"/>
        <w:jc w:val="right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Таблица 1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674"/>
        <w:gridCol w:w="2142"/>
        <w:gridCol w:w="1835"/>
        <w:gridCol w:w="2345"/>
      </w:tblGrid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Критерии</w:t>
            </w:r>
            <w:r>
              <w:rPr>
                <w:rStyle w:val="1107"/>
                <w:b/>
                <w:bCs/>
                <w:sz w:val="20"/>
              </w:rPr>
              <w:t xml:space="preserve">**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Независимая гарантия на исполнение контрагентом обязательств по договору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Независимая гарантия на возврат авансовых платежей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Независимая гарантия обеспечения гарантийных обязательств по договору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Размер собственного капитала</w:t>
            </w:r>
            <w:r>
              <w:rPr>
                <w:bCs/>
                <w:sz w:val="18"/>
                <w:szCs w:val="18"/>
                <w:vertAlign w:val="superscript"/>
                <w:lang w:eastAsia="en-US"/>
              </w:rPr>
              <w:t xml:space="preserve"> </w:t>
            </w:r>
            <w:r>
              <w:rPr>
                <w:bCs/>
                <w:sz w:val="18"/>
                <w:szCs w:val="18"/>
                <w:lang w:eastAsia="en-US"/>
              </w:rPr>
              <w:t xml:space="preserve">банка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менее 10 млрд. руб.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менее 10 млрд. руб.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менее 10 млрд. руб.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Кредитная организация входит в перечень банков, соответствующих требованиям ст. 2 Федерального закона от 21.07.2014 № 213-ФЗ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Наличие долгосрочного кредитного рейтинга (в соответствии с таблицей 2)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применяется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Для независимых гарантий с суммой более 15 млн. руб.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Для независимых гарантий с суммой более 15 млн. руб.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</w:tr>
    </w:tbl>
    <w:p>
      <w:pPr>
        <w:ind w:firstLine="567"/>
        <w:jc w:val="both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* На все банки-гаранты, находящиеся под прямым или косвенным контролем Российской Федерации либо Банка России и суммой активов свыше 500 млрд. руб., ограниче</w:t>
      </w:r>
      <w:r>
        <w:rPr>
          <w:sz w:val="20"/>
          <w:szCs w:val="20"/>
        </w:rPr>
        <w:t xml:space="preserve">ния по сумме принимаемых независимых гарантий не устанавливаются. (Настоящий пункт не распространяется на банки-гаранты, акции (доли) которых перешли во владение Российской Федерации либо Банка России в ходе процедуры санации или финансового оздоровления).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67"/>
        <w:jc w:val="both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bCs/>
          <w:sz w:val="22"/>
          <w:szCs w:val="22"/>
        </w:rPr>
      </w:pPr>
      <w:r>
        <w:rPr>
          <w:sz w:val="20"/>
          <w:szCs w:val="20"/>
        </w:rPr>
        <w:t xml:space="preserve">**Для банков с долей Российской Федерации либо Банка России в уставном капитале более 50% (за исключением банков-гарантов, находящиеся под прямым или косвенным контролем Российской Федерации либо Банка России и с</w:t>
      </w:r>
      <w:r>
        <w:rPr>
          <w:sz w:val="20"/>
          <w:szCs w:val="20"/>
        </w:rPr>
        <w:t xml:space="preserve">уммой активов свыше 500 млрд. руб. (не распространяется на банки-гаранты, акции (доли) которых перешли во владение Российской Федерации либо Банка России в ходе процедуры санации или финансового оздоровления)), а также банков, в отношении которых Банком Ро</w:t>
      </w:r>
      <w:r>
        <w:rPr>
          <w:sz w:val="20"/>
          <w:szCs w:val="20"/>
        </w:rPr>
        <w:t xml:space="preserve">ссии принято решение о гарантировании непрерывности деятельности, ограничения по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не применяются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firstLine="567"/>
        <w:jc w:val="right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Таблица 2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tbl>
      <w:tblPr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550"/>
        <w:gridCol w:w="2550"/>
        <w:gridCol w:w="2345"/>
        <w:gridCol w:w="2551"/>
      </w:tblGrid>
      <w:tr>
        <w:tblPrEx/>
        <w:trPr>
          <w:cantSplit/>
          <w:jc w:val="center"/>
          <w:tblHeader/>
        </w:trPr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АКРА (АО)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АО «Эксперт РА»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ind w:left="534" w:hanging="105"/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ООО «НКР»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50" w:type="pct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ООО «НРА»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58"/>
        </w:trPr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BBB-(RU)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ruBBB-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 </w:t>
            </w:r>
            <w:r>
              <w:rPr>
                <w:sz w:val="20"/>
                <w:szCs w:val="20"/>
              </w:rPr>
              <w:t xml:space="preserve">BBB-.ru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250" w:type="pct"/>
            <w:vAlign w:val="center"/>
            <w:textDirection w:val="lrTb"/>
            <w:noWrap w:val="false"/>
          </w:tcPr>
          <w:p>
            <w:pPr>
              <w:ind w:left="-100"/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 </w:t>
            </w:r>
            <w:r>
              <w:rPr>
                <w:sz w:val="20"/>
                <w:szCs w:val="20"/>
              </w:rPr>
              <w:t xml:space="preserve">BBB-|ru|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</w:tbl>
    <w:p>
      <w:pPr>
        <w:tabs>
          <w:tab w:val="left" w:pos="1418" w:leader="none"/>
          <w:tab w:val="left" w:pos="1701" w:leader="none"/>
        </w:tabs>
        <w:rPr>
          <w:i/>
          <w:sz w:val="22"/>
        </w:rPr>
      </w:pPr>
      <w:r>
        <w:rPr>
          <w:i/>
          <w:sz w:val="22"/>
        </w:rPr>
      </w:r>
      <w:r>
        <w:rPr>
          <w:i/>
          <w:sz w:val="22"/>
        </w:rPr>
      </w:r>
      <w:r>
        <w:rPr>
          <w:i/>
          <w:sz w:val="22"/>
        </w:rPr>
      </w:r>
    </w:p>
    <w:p>
      <w:pPr>
        <w:pStyle w:val="943"/>
        <w:numPr>
          <w:ilvl w:val="3"/>
          <w:numId w:val="3"/>
        </w:numPr>
        <w:ind w:left="0" w:firstLine="36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Победителю закупки (единственному участнику, с которым принято решение заключить договор) необходимо представить Заказчику следующие документы в отношении гаранта: 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pStyle w:val="962"/>
        <w:numPr>
          <w:ilvl w:val="4"/>
          <w:numId w:val="3"/>
        </w:numPr>
        <w:ind w:left="0" w:firstLine="567"/>
        <w:jc w:val="both"/>
        <w:tabs>
          <w:tab w:val="left" w:pos="1620" w:leader="none"/>
        </w:tabs>
        <w:rPr>
          <w:b/>
          <w:bCs/>
          <w:u w:val="single"/>
        </w:rPr>
      </w:pPr>
      <w:r>
        <w:rPr>
          <w:b/>
          <w:bCs/>
          <w:u w:val="single"/>
        </w:rPr>
        <w:t xml:space="preserve">Если сумма независимой гарантии не превышает 15 млн. рублей:</w:t>
      </w:r>
      <w:r>
        <w:rPr>
          <w:b/>
          <w:bCs/>
          <w:u w:val="single"/>
        </w:rPr>
      </w:r>
      <w:r>
        <w:rPr>
          <w:b/>
          <w:bCs/>
          <w:u w:val="single"/>
        </w:rPr>
      </w:r>
    </w:p>
    <w:p>
      <w:pPr>
        <w:numPr>
          <w:ilvl w:val="0"/>
          <w:numId w:val="44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44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доверенность на уполномоченное лицо, действующее от имени гаранта (оригинал / нотариально заверенная копия/копия, заверенная гарантом) (в случае если независимая гарантия подписана уполномоченным лицом, действующим от имени</w:t>
      </w:r>
      <w:r>
        <w:rPr>
          <w:bCs/>
        </w:rPr>
        <w:t xml:space="preserve">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гарантом).</w:t>
      </w:r>
      <w:r>
        <w:rPr>
          <w:bCs/>
        </w:rPr>
      </w:r>
      <w:r>
        <w:rPr>
          <w:bCs/>
        </w:rPr>
      </w:r>
    </w:p>
    <w:p>
      <w:pPr>
        <w:ind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если в доверенности на право подписи независимой гарантии имеются ограничения</w:t>
      </w:r>
      <w:r>
        <w:rPr>
          <w:bCs/>
        </w:rPr>
        <w:t xml:space="preserve">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документов.</w:t>
      </w:r>
      <w:r>
        <w:rPr>
          <w:bCs/>
        </w:rPr>
      </w:r>
      <w:r>
        <w:rPr>
          <w:bCs/>
        </w:rPr>
      </w:r>
    </w:p>
    <w:p>
      <w:pPr>
        <w:ind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</w:t>
      </w:r>
      <w:r>
        <w:rPr>
          <w:bCs/>
        </w:rPr>
        <w:t xml:space="preserve">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</w:t>
      </w:r>
      <w:r>
        <w:rPr>
          <w:bCs/>
        </w:rPr>
        <w:t xml:space="preserve">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гаранта.</w:t>
      </w:r>
      <w:r>
        <w:rPr>
          <w:bCs/>
        </w:rPr>
      </w:r>
      <w:r>
        <w:rPr>
          <w:bCs/>
        </w:rPr>
      </w:r>
    </w:p>
    <w:p>
      <w:pPr>
        <w:pStyle w:val="1315"/>
        <w:numPr>
          <w:ilvl w:val="4"/>
          <w:numId w:val="3"/>
        </w:numPr>
        <w:ind w:left="0" w:firstLine="567"/>
        <w:jc w:val="both"/>
        <w:spacing w:before="0" w:after="0" w:line="240" w:lineRule="auto"/>
        <w:widowControl w:val="off"/>
        <w:tabs>
          <w:tab w:val="left" w:pos="1620" w:leader="none"/>
        </w:tabs>
        <w:rPr>
          <w:bCs w:val="0"/>
          <w:szCs w:val="24"/>
          <w:u w:val="single"/>
        </w:rPr>
      </w:pPr>
      <w:r>
        <w:rPr>
          <w:bCs w:val="0"/>
          <w:szCs w:val="24"/>
          <w:u w:val="single"/>
        </w:rPr>
        <w:t xml:space="preserve">Если сумма независимой гарантии превышает 15 млн. рублей:</w:t>
      </w:r>
      <w:r>
        <w:rPr>
          <w:bCs w:val="0"/>
          <w:szCs w:val="24"/>
          <w:u w:val="single"/>
        </w:rPr>
      </w:r>
      <w:r>
        <w:rPr>
          <w:bCs w:val="0"/>
          <w:szCs w:val="24"/>
          <w:u w:val="single"/>
        </w:rPr>
      </w:r>
    </w:p>
    <w:p>
      <w:pPr>
        <w:numPr>
          <w:ilvl w:val="0"/>
          <w:numId w:val="44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лицензия на осуществление банковской деятельности, действующая на дату выдачи независимой гарантии (копия, заверенная гарантом либо нотариально заверенная копия);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44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документы, удостоверяющие право подписанта подписывать независимые гарантии от лица гаранта (включая, но не ограничиваясь):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45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Устав со всеми изменениями и дополнениями, зарегистрированными в установленном порядке на дату выдачи независимой гарантии (нотариально заверенная копия);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45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Свидетельство о внесении записи в ЕГРЮЛ в связи с внесением изменений в Устав (нотариально заверенная копия);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45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оформления независимой гарантии обособленными структурным</w:t>
      </w:r>
      <w:r>
        <w:rPr>
          <w:bCs/>
        </w:rPr>
        <w:t xml:space="preserve">и подразделениями гаранта необходимо представить указанные в учредительных документах гаранта документы, регламентирующие деятельность обособленного структурного подразделения гаранта (положение о филиале, положение о дополнительном офисе, иные документы);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45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45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доверенность на уполномоченное лицо, действующее от имени гаранта (оригинал / нотариально заверенная копия/копия, заверенная гарантом) (в случае если независимая гарантия подписана уполномоченным лицом, действующим от имени </w:t>
      </w:r>
      <w:r>
        <w:rPr>
          <w:bCs/>
        </w:rPr>
        <w:t xml:space="preserve">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гарантом). </w:t>
      </w:r>
      <w:r>
        <w:rPr>
          <w:bCs/>
        </w:rPr>
      </w:r>
      <w:r>
        <w:rPr>
          <w:bCs/>
        </w:rPr>
      </w:r>
    </w:p>
    <w:p>
      <w:pPr>
        <w:ind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если в доверенности на право подписания независимой гарантии имеются ограничения (подпис</w:t>
      </w:r>
      <w:r>
        <w:rPr>
          <w:bCs/>
        </w:rPr>
        <w:t xml:space="preserve">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решений/документов.</w:t>
      </w:r>
      <w:r>
        <w:rPr>
          <w:bCs/>
        </w:rPr>
      </w:r>
      <w:r>
        <w:rPr>
          <w:bCs/>
        </w:rPr>
      </w:r>
    </w:p>
    <w:p>
      <w:pPr>
        <w:ind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</w:t>
      </w:r>
      <w:r>
        <w:rPr>
          <w:bCs/>
        </w:rPr>
        <w:t xml:space="preserve">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</w:t>
      </w:r>
      <w:r>
        <w:rPr>
          <w:bCs/>
        </w:rPr>
        <w:t xml:space="preserve">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46"/>
        </w:numPr>
        <w:ind w:left="0" w:firstLine="567"/>
        <w:jc w:val="both"/>
        <w:widowControl w:val="off"/>
        <w:tabs>
          <w:tab w:val="left" w:pos="1418" w:leader="none"/>
        </w:tabs>
        <w:rPr>
          <w:bCs/>
        </w:rPr>
      </w:pPr>
      <w:r>
        <w:rPr>
          <w:bCs/>
        </w:rPr>
        <w:t xml:space="preserve">выписка из Единого государственного реестра юридических</w:t>
      </w:r>
      <w:r>
        <w:rPr>
          <w:bCs/>
        </w:rPr>
        <w:t xml:space="preserve"> лиц (ЕГРЮЛ), выданная регистрирующим органом не ранее, чем за 30 дней до даты выдачи независимой гарантии (оригинал/нотариально заверенная копия) допускается представление выписки с официального сайта Федеральной налоговой службы https://egrul.nalog/ru/).</w:t>
      </w:r>
      <w:r>
        <w:rPr>
          <w:bCs/>
        </w:rPr>
      </w:r>
      <w:r>
        <w:rPr>
          <w:bCs/>
        </w:rPr>
      </w:r>
    </w:p>
    <w:p>
      <w:pPr>
        <w:pStyle w:val="943"/>
        <w:numPr>
          <w:ilvl w:val="4"/>
          <w:numId w:val="3"/>
        </w:numPr>
        <w:ind w:left="0" w:firstLine="567"/>
        <w:jc w:val="both"/>
        <w:keepNext w:val="0"/>
        <w:spacing w:before="0" w:after="0"/>
        <w:rPr>
          <w:rFonts w:ascii="Times New Roman" w:hAnsi="Times New Roman"/>
          <w:b w:val="0"/>
          <w:bCs w:val="0"/>
          <w:u w:val="single"/>
        </w:rPr>
      </w:pP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  <w:r>
        <w:rPr>
          <w:rFonts w:ascii="Times New Roman" w:hAnsi="Times New Roman"/>
          <w:b w:val="0"/>
          <w:bCs w:val="0"/>
          <w:u w:val="single"/>
        </w:rPr>
      </w:r>
      <w:r>
        <w:rPr>
          <w:rFonts w:ascii="Times New Roman" w:hAnsi="Times New Roman"/>
          <w:b w:val="0"/>
          <w:bCs w:val="0"/>
          <w:u w:val="single"/>
        </w:rPr>
      </w:r>
    </w:p>
    <w:p>
      <w:pPr>
        <w:pStyle w:val="1315"/>
        <w:ind w:firstLine="567"/>
        <w:jc w:val="both"/>
        <w:spacing w:before="0" w:after="0" w:line="240" w:lineRule="auto"/>
        <w:widowControl w:val="off"/>
        <w:tabs>
          <w:tab w:val="num" w:pos="1080" w:leader="none"/>
          <w:tab w:val="num" w:pos="1648" w:leader="none"/>
        </w:tabs>
      </w:pPr>
      <w:r>
        <w:rPr>
          <w:b w:val="0"/>
          <w:szCs w:val="24"/>
        </w:rPr>
        <w:t xml:space="preserve">- форма банковской отчетности по РСБУ № 808</w:t>
      </w:r>
      <w:r>
        <w:rPr>
          <w:b w:val="0"/>
          <w:szCs w:val="24"/>
        </w:rPr>
        <w:t xml:space="preserve">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</w:t>
      </w:r>
      <w:hyperlink r:id="rId18" w:tooltip="http://www.cbr.ru/credit/" w:history="1">
        <w:r>
          <w:rPr>
            <w:b w:val="0"/>
            <w:szCs w:val="24"/>
          </w:rPr>
          <w:t xml:space="preserve">http://www.cbr.ru/credit/</w:t>
        </w:r>
      </w:hyperlink>
      <w:r>
        <w:rPr>
          <w:b w:val="0"/>
          <w:szCs w:val="24"/>
        </w:rPr>
        <w:t xml:space="preserve">) (данные документы/информация предоставляются по состоянию на последнюю отчетную дату);</w:t>
      </w:r>
      <w:r/>
    </w:p>
    <w:p>
      <w:pPr>
        <w:ind w:firstLine="567"/>
        <w:jc w:val="both"/>
        <w:widowControl w:val="off"/>
        <w:tabs>
          <w:tab w:val="num" w:pos="1418" w:leader="none"/>
        </w:tabs>
      </w:pPr>
      <w:r>
        <w:t xml:space="preserve">- письмо гаранта о не нахождении ег</w:t>
      </w:r>
      <w:r>
        <w:t xml:space="preserve">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  <w:r/>
    </w:p>
    <w:p>
      <w:pPr>
        <w:pStyle w:val="943"/>
        <w:numPr>
          <w:ilvl w:val="4"/>
          <w:numId w:val="3"/>
        </w:numPr>
        <w:ind w:left="0" w:firstLine="567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Иные документы по запросу Заказчика.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</w:pPr>
      <w:r>
        <w:t xml:space="preserve">При расчете оценки по ценовому критерию, если в отношении закупаемых товаров (в том числе поставляемым при выполнении закупаемых работ, оказании закупаемых услуг), установлено преимуще</w:t>
      </w:r>
      <w:r>
        <w:t xml:space="preserve">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/>
    </w:p>
    <w:p>
      <w:pPr>
        <w:numPr>
          <w:ilvl w:val="1"/>
          <w:numId w:val="3"/>
        </w:numPr>
        <w:ind w:left="0" w:firstLine="0"/>
        <w:jc w:val="both"/>
        <w:rPr>
          <w:b/>
        </w:rPr>
      </w:pPr>
      <w:r>
        <w:rPr>
          <w:b/>
        </w:rPr>
        <w:t xml:space="preserve">Заявки участников закупки оцениваются исходя из критериев и в порядке, установленном в разделе 9 «КРИТЕРИИ ОЦЕНКИ ЗАЯВОК УЧАСТНИКОВ».</w:t>
      </w:r>
      <w:r>
        <w:rPr>
          <w:b/>
        </w:rPr>
      </w:r>
      <w:r>
        <w:rPr>
          <w:b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  <w:highlight w:val="white"/>
        </w:rPr>
      </w:pPr>
      <w:r>
        <w:t xml:space="preserve">Победителем закупки признаетс</w:t>
      </w:r>
      <w:r>
        <w:rPr>
          <w:highlight w:val="white"/>
        </w:rPr>
        <w:t xml:space="preserve">я участник закупки, заявка на участие в закупке которого соответствует требованиям, установленным извещением о закупке, и заявка которого по результатам сопоставления заявок, на основании указанных в извещен</w:t>
      </w:r>
      <w:r>
        <w:rPr>
          <w:highlight w:val="white"/>
        </w:rPr>
        <w:t xml:space="preserve">ии о закупке критериев оценки, содержит лучшие условия исполнения договора.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 </w:t>
      </w:r>
      <w:r>
        <w:rPr>
          <w:b/>
          <w:bCs/>
          <w:highlight w:val="white"/>
        </w:rPr>
        <w:t xml:space="preserve">Для целей оценки заявок по ценовому критерию применяются </w:t>
      </w:r>
      <w:r>
        <w:rPr>
          <w:b/>
          <w:bCs/>
          <w:highlight w:val="white"/>
        </w:rPr>
        <w:t xml:space="preserve">начальная (максимальная) цена договора</w:t>
      </w:r>
      <w:r>
        <w:rPr>
          <w:b/>
          <w:bCs/>
          <w:highlight w:val="white"/>
        </w:rPr>
        <w:t xml:space="preserve"> и ценовые предложения участников закупки </w:t>
      </w:r>
      <w:r>
        <w:rPr>
          <w:b/>
          <w:bCs/>
          <w:highlight w:val="white"/>
        </w:rPr>
        <w:t xml:space="preserve">без учета</w:t>
      </w:r>
      <w:r>
        <w:rPr>
          <w:b/>
          <w:bCs/>
          <w:highlight w:val="white"/>
        </w:rPr>
        <w:t xml:space="preserve"> НДС.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numPr>
          <w:ilvl w:val="1"/>
          <w:numId w:val="3"/>
        </w:numPr>
        <w:ind w:left="0" w:firstLine="0"/>
        <w:jc w:val="both"/>
        <w:rPr>
          <w:highlight w:val="white"/>
        </w:rPr>
      </w:pPr>
      <w:r>
        <w:rPr>
          <w:highlight w:val="white"/>
        </w:rPr>
        <w:t xml:space="preserve">Если</w:t>
      </w:r>
      <w:r>
        <w:rPr>
          <w:highlight w:val="white"/>
        </w:rPr>
        <w:t xml:space="preserve">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извещения о закупке, повлекшие необоснованное решение о выборе победителя </w:t>
      </w:r>
      <w:r>
        <w:rPr>
          <w:highlight w:val="white"/>
        </w:rPr>
        <w:t xml:space="preserve">закупки (единственного участника закупки, соответствующего требованиям извещения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highlight w:val="white"/>
        </w:rPr>
      </w:r>
      <w:r>
        <w:rPr>
          <w:highlight w:val="white"/>
        </w:rPr>
      </w:r>
    </w:p>
    <w:p>
      <w:pPr>
        <w:numPr>
          <w:ilvl w:val="1"/>
          <w:numId w:val="3"/>
        </w:numPr>
        <w:ind w:left="0" w:firstLine="0"/>
        <w:jc w:val="both"/>
      </w:pPr>
      <w:r>
        <w:rPr>
          <w:highlight w:val="white"/>
        </w:rPr>
        <w:t xml:space="preserve">Закупочная комиссия отклоняет участника </w:t>
      </w:r>
      <w:r>
        <w:rPr>
          <w:highlight w:val="white"/>
        </w:rPr>
        <w:t xml:space="preserve">закупки от участия, а 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Заказчик или Закупочная комиссия обнаружит, что участник</w:t>
      </w:r>
      <w:r>
        <w:rPr>
          <w:highlight w:val="white"/>
        </w:rPr>
        <w:t xml:space="preserve"> закупки и (или) заявка участника закупки не </w:t>
      </w:r>
      <w:r>
        <w:t xml:space="preserve">соответствуют требованиям, установленным в извещении о закупке или участник закупки предоставил недостоверную информацию (сведения) в отношении своего соответствия либо соответствия заявки указанным требованиям.</w:t>
      </w:r>
      <w:r/>
    </w:p>
    <w:p>
      <w:pPr>
        <w:numPr>
          <w:ilvl w:val="1"/>
          <w:numId w:val="3"/>
        </w:numPr>
        <w:ind w:left="0" w:firstLine="0"/>
        <w:jc w:val="both"/>
      </w:pPr>
      <w:r/>
      <w:bookmarkStart w:id="10" w:name="_Ref166158219"/>
      <w:r>
        <w:t xml:space="preserve">Заказчик вправе отменить закупку в любое время до подписания договора</w:t>
      </w:r>
      <w:bookmarkEnd w:id="10"/>
      <w:r>
        <w:t xml:space="preserve">. Решение об отмене закупки размещается Заказчиком в ЕИС в день принятия этого решения.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Основания, порядок и последствия признания закупки несостоявшейся установлены Положением о закупке Заказчика. 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/>
    </w:p>
    <w:p>
      <w:pPr>
        <w:pStyle w:val="964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Порядок заключения договора, отказ от заключения договора, изменение и расторжение договора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/>
      <w:bookmarkStart w:id="11" w:name="_Toc354408457"/>
      <w:r>
        <w:t xml:space="preserve">Договор по результатам закупки заключается на условиях, которые предусмотрены проектом договора, извещением о закупке и</w:t>
      </w:r>
      <w:r>
        <w:rPr>
          <w:b/>
        </w:rPr>
        <w:t xml:space="preserve"> </w:t>
      </w:r>
      <w:r>
        <w:t xml:space="preserve">заявкой участника такой закупки, с которым заключается договор. По результатам закупки с участником может быть заключено также несколько договоров.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В указанном случае порядок выбора нескольких победителей должен быть установлен в разделе </w:t>
      </w:r>
      <w:r>
        <w:fldChar w:fldCharType="begin"/>
      </w:r>
      <w:r>
        <w:instrText xml:space="preserve"> REF _Ref536541397 \r \h  \* MERGEFORMAT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настоящего извещения о закупке.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Договор по результатам закупки заключается (подписывается) только после п</w:t>
      </w:r>
      <w:r>
        <w:t xml:space="preserve">редоставления участником закупки, с которым заключается договор, обеспечения исполнения обязательств по договору (в случае, если в извещении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Договор по результатам закупки заключается с использованием программно-аппаратных средств ЭП и должен быть подписан электронной подписью лиц, имеющих право действовать от имени участника такой закупки и Заказчика соответственно.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Договор по результатам закупки заключается в срок не более 20 (двадц</w:t>
      </w:r>
      <w:r>
        <w:t xml:space="preserve">ати) дней с даты принятия решения о заключении договора.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</w:t>
      </w:r>
      <w:r>
        <w:t xml:space="preserve">бном порядке действий (бездействия) Заказчика, Закупочной комиссии, оператора электронной площадки договор должен быть заключен в срок не позднее 20 (двадцати) дней с момента принятия соответствующего решения (одобрения, вынесения решения по жалобе, иску).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Заказчик направляет подписанный электронной подписью проект договора в течение 2 (двух) рабочих дней с даты согласования проекта договора в соответствии с порядком,</w:t>
      </w:r>
      <w:r>
        <w:t xml:space="preserve"> установленным внутренними организационно-распорядительными документами Заказчика, при условии, что участником закупки, с которым заключается договор, предоставлено обеспечение исполнения обязательств по договору (в случае, если в извещении о закупке устан</w:t>
      </w:r>
      <w:r>
        <w:t xml:space="preserve">овлены требования обеспечения исполнения договора и срок его предоставления до заключения договора). Участник подписывает электронной подписью проект договора в течение 3 (трех) рабочих дней с даты направления ему проекта договора, подписанного Заказчиком.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В случае наличия разногласий по проекту договора, направленному заказчиком, участник с которым заключается договор составляет протокол разногласий с указ</w:t>
      </w:r>
      <w:r>
        <w:t xml:space="preserve">анием замечаний к положениям проекта договора, не соответствующим извещению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</w:t>
      </w:r>
      <w:r>
        <w:t xml:space="preserve">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</w:t>
      </w:r>
      <w:r>
        <w:t xml:space="preserve">ботанный проект договора,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bookmarkEnd w:id="11"/>
      <w:r>
        <w:rPr>
          <w:b/>
          <w:bCs/>
        </w:rPr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</w:pPr>
      <w:r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договора) в любой момент до заключе</w:t>
      </w:r>
      <w:r>
        <w:t xml:space="preserve">ния договора, если Заказчик или Закупочная комиссия обнаружит, что участник закупки не соответствует требованиям, установленным в извещении о закупке или предоставил недостоверную информацию (сведения) в отношении своего соответствия указанным требованиям.</w:t>
      </w:r>
      <w:r/>
    </w:p>
    <w:p>
      <w:pPr>
        <w:numPr>
          <w:ilvl w:val="1"/>
          <w:numId w:val="3"/>
        </w:numPr>
        <w:ind w:left="0" w:firstLine="0"/>
        <w:jc w:val="both"/>
      </w:pPr>
      <w:r/>
      <w:bookmarkStart w:id="12" w:name="_Ref302129490"/>
      <w:r>
        <w:t xml:space="preserve"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12"/>
      <w:r/>
      <w:r/>
    </w:p>
    <w:p>
      <w:pPr>
        <w:numPr>
          <w:ilvl w:val="0"/>
          <w:numId w:val="6"/>
        </w:numPr>
        <w:ind w:left="709" w:hanging="283"/>
        <w:jc w:val="both"/>
      </w:pPr>
      <w:r>
        <w:t xml:space="preserve"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  <w:r/>
    </w:p>
    <w:p>
      <w:pPr>
        <w:numPr>
          <w:ilvl w:val="0"/>
          <w:numId w:val="6"/>
        </w:numPr>
        <w:ind w:left="709" w:hanging="283"/>
        <w:jc w:val="both"/>
        <w:rPr>
          <w:smallCaps/>
        </w:rPr>
      </w:pPr>
      <w:r>
        <w:t xml:space="preserve">непредоставления или предоставление с нарушением услови</w:t>
      </w:r>
      <w:r>
        <w:t xml:space="preserve">й, установленных действующим законодательством, до заключения договора Заказчику обеспечения исполнения договора (в случае, если в извещении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smallCaps/>
        </w:rPr>
      </w:r>
      <w:r>
        <w:rPr>
          <w:smallCaps/>
        </w:rPr>
      </w:r>
    </w:p>
    <w:p>
      <w:pPr>
        <w:numPr>
          <w:ilvl w:val="1"/>
          <w:numId w:val="3"/>
        </w:numPr>
        <w:ind w:left="0" w:firstLine="0"/>
        <w:jc w:val="both"/>
      </w:pPr>
      <w:r>
        <w:t xml:space="preserve">В случае если победитель закупки будет признан уклонившимся от заключения договора, Заказчик на основании решения Закупочной комиссии вправе заключить договор с участником закупки, который предложил такие же, ка</w:t>
      </w:r>
      <w:r>
        <w:t xml:space="preserve">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В этом случае такой участник закупки обязан заключить договор с Заказчиком,</w:t>
      </w:r>
      <w:r>
        <w:rPr>
          <w:rFonts w:ascii="Calibri" w:hAnsi="Calibri" w:eastAsia="Calibri"/>
          <w:sz w:val="22"/>
          <w:szCs w:val="22"/>
          <w:lang w:eastAsia="en-US"/>
        </w:rPr>
        <w:t xml:space="preserve"> </w:t>
      </w:r>
      <w:r>
        <w:t xml:space="preserve">при обращении к нему Заказчика с предложением заключить договор.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В случае уклонения или отказа участника от заключения договора (в том числе участника, сделавшего второе по приоритетности предложение, в случае заключения с ним договора в результате отказа участника, первоначально признанного победите</w:t>
      </w:r>
      <w:r>
        <w:t xml:space="preserve">лем) Заказчик направляет сведения о таком участнике в федеральный орган исполнительной власти, уполномоченным Правительством Российской Федерации, для включения в реестр недобросовестных поставщиков в порядке, предусмотренном действующим законодательством.</w:t>
      </w:r>
      <w:r/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Договор исполняется в соотв</w:t>
      </w:r>
      <w:r>
        <w:t xml:space="preserve">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/>
      <w:bookmarkStart w:id="13" w:name="_Ref119429963"/>
      <w:r>
        <w:t xml:space="preserve">При исполн</w:t>
      </w:r>
      <w:r>
        <w:t xml:space="preserve">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</w:t>
      </w:r>
      <w:r>
        <w:t xml:space="preserve">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b/>
          <w:bCs/>
        </w:rPr>
      </w:r>
      <w:r>
        <w:rPr>
          <w:b/>
          <w:bCs/>
        </w:rPr>
      </w:r>
    </w:p>
    <w:p>
      <w:pPr>
        <w:pStyle w:val="943"/>
        <w:numPr>
          <w:ilvl w:val="1"/>
          <w:numId w:val="3"/>
        </w:numPr>
        <w:ind w:left="0" w:firstLine="0"/>
        <w:keepNext w:val="0"/>
        <w:spacing w:before="0" w:after="0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При исполнении договора не допускается: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pStyle w:val="1152"/>
        <w:numPr>
          <w:ilvl w:val="0"/>
          <w:numId w:val="48"/>
        </w:numPr>
        <w:ind w:left="0" w:firstLine="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 установлен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2"/>
        <w:numPr>
          <w:ilvl w:val="0"/>
          <w:numId w:val="48"/>
        </w:numPr>
        <w:ind w:left="0" w:firstLine="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было установлено ограничение/преимущество в соответствии с требованиями ПП № 1875, если договор предусматривает поставку товара российского происхождения;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2"/>
        <w:numPr>
          <w:ilvl w:val="0"/>
          <w:numId w:val="48"/>
        </w:numPr>
        <w:ind w:left="0" w:firstLine="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</w:t>
      </w:r>
      <w:r>
        <w:rPr>
          <w:sz w:val="24"/>
          <w:szCs w:val="24"/>
        </w:rPr>
        <w:t xml:space="preserve">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был установлен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2"/>
        <w:numPr>
          <w:ilvl w:val="0"/>
          <w:numId w:val="48"/>
        </w:numPr>
        <w:ind w:left="0" w:firstLine="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 эта перемена допускается гражданским законодате</w:t>
      </w:r>
      <w:r>
        <w:rPr>
          <w:sz w:val="24"/>
          <w:szCs w:val="24"/>
        </w:rPr>
        <w:t xml:space="preserve">льством), с которым заключен договор, на иностранное лицо, которое зарегистрировано на территории иностранного государства, в отношении которого было установлено ограничение в соответствии с требованиями ПП № 1875, если договор заключен с российским лицом.</w:t>
      </w:r>
      <w:bookmarkEnd w:id="1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Расторжение договора, в том числе односторонний отказ от договора допускается по основаниям и в порядке, предусмотренном действующим законодательством и договором.</w:t>
      </w:r>
      <w:r>
        <w:rPr>
          <w:b/>
          <w:bCs/>
        </w:rPr>
      </w:r>
      <w:r>
        <w:rPr>
          <w:b/>
          <w:bCs/>
        </w:rPr>
      </w:r>
    </w:p>
    <w:p>
      <w:pPr>
        <w:tabs>
          <w:tab w:val="left" w:pos="0" w:leader="none"/>
        </w:tabs>
        <w:sectPr>
          <w:headerReference w:type="default" r:id="rId9"/>
          <w:footerReference w:type="default" r:id="rId10"/>
          <w:footerReference w:type="even" r:id="rId11"/>
          <w:footnotePr/>
          <w:endnotePr/>
          <w:type w:val="nextPage"/>
          <w:pgSz w:w="11906" w:h="16838" w:orient="portrait"/>
          <w:pgMar w:top="851" w:right="850" w:bottom="1134" w:left="1276" w:header="709" w:footer="709" w:gutter="0"/>
          <w:cols w:num="1" w:sep="0" w:space="708" w:equalWidth="1"/>
          <w:docGrid w:linePitch="360"/>
        </w:sectPr>
      </w:pPr>
      <w:r/>
      <w:r/>
    </w:p>
    <w:p>
      <w:pPr>
        <w:pStyle w:val="964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ОБРАЗЦЫ ФОРМ, ДЛЯ ЗАПОЛНЕНИЯ УЧАСТНИКАМИ ЗАКУПКИ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r/>
      <w:r/>
    </w:p>
    <w:p>
      <w:pPr>
        <w:pStyle w:val="1123"/>
        <w:jc w:val="center"/>
        <w:spacing w:before="0" w:after="60"/>
        <w:rPr>
          <w:bCs/>
          <w:caps/>
          <w:sz w:val="24"/>
          <w:szCs w:val="24"/>
          <w:lang w:val="ru-RU"/>
        </w:rPr>
      </w:pPr>
      <w:r>
        <w:rPr>
          <w:bCs/>
          <w:caps/>
          <w:sz w:val="24"/>
          <w:szCs w:val="24"/>
        </w:rPr>
        <w:t xml:space="preserve">Форма 1. Заявка на участие в </w:t>
      </w:r>
      <w:r>
        <w:rPr>
          <w:bCs/>
          <w:caps/>
          <w:sz w:val="24"/>
          <w:szCs w:val="24"/>
          <w:lang w:val="ru-RU"/>
        </w:rPr>
        <w:t xml:space="preserve">закупке</w:t>
      </w:r>
      <w:r>
        <w:rPr>
          <w:bCs/>
          <w:caps/>
          <w:sz w:val="24"/>
          <w:szCs w:val="24"/>
          <w:lang w:val="ru-RU"/>
        </w:rPr>
      </w:r>
      <w:r>
        <w:rPr>
          <w:bCs/>
          <w:caps/>
          <w:sz w:val="24"/>
          <w:szCs w:val="24"/>
          <w:lang w:val="ru-RU"/>
        </w:rPr>
      </w:r>
    </w:p>
    <w:p>
      <w:pPr>
        <w:jc w:val="both"/>
        <w:tabs>
          <w:tab w:val="left" w:pos="7088" w:leader="none"/>
        </w:tabs>
      </w:pPr>
      <w:r/>
      <w:r/>
    </w:p>
    <w:p>
      <w:pPr>
        <w:jc w:val="center"/>
        <w:rPr>
          <w:b/>
        </w:rPr>
      </w:pPr>
      <w:r>
        <w:rPr>
          <w:b/>
        </w:rPr>
        <w:t xml:space="preserve">Заявка на участие в закупке в электронном магазине</w:t>
      </w:r>
      <w:r>
        <w:rPr>
          <w:b/>
        </w:rPr>
      </w:r>
      <w:r>
        <w:rPr>
          <w:b/>
        </w:rPr>
      </w:r>
    </w:p>
    <w:p>
      <w:pPr>
        <w:ind w:firstLine="567"/>
        <w:jc w:val="both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  <w:jc w:val="both"/>
        <w:spacing w:after="120"/>
        <w:widowControl w:val="off"/>
      </w:pPr>
      <w:r>
        <w:t xml:space="preserve">Изучив извещение о проведении закупки в электронном магазине № _______________ от «__» _______ 20__ </w:t>
      </w:r>
      <w:r>
        <w:rPr>
          <w:i/>
          <w:iCs/>
        </w:rPr>
        <w:t xml:space="preserve">(указывается номер извещения о проведении закупки на официальном сайте Единой информационной системы),</w:t>
      </w:r>
      <w:r>
        <w:t xml:space="preserve"> настоящим ___________ </w:t>
      </w:r>
      <w:r>
        <w:rPr>
          <w:i/>
        </w:rPr>
        <w:t xml:space="preserve">(указать наименование участника закупки)</w:t>
      </w:r>
      <w:r>
        <w:t xml:space="preserve"> выражает согласие исполнить все приведенные в нем условия договора.</w:t>
      </w:r>
      <w:r/>
    </w:p>
    <w:p>
      <w:pPr>
        <w:ind w:firstLine="567"/>
        <w:jc w:val="both"/>
        <w:widowControl w:val="off"/>
      </w:pPr>
      <w:r/>
      <w:r/>
    </w:p>
    <w:p>
      <w:pPr>
        <w:pStyle w:val="1157"/>
        <w:numPr>
          <w:ilvl w:val="0"/>
          <w:numId w:val="10"/>
        </w:numPr>
        <w:ind w:left="0" w:firstLine="567"/>
        <w:jc w:val="both"/>
        <w:widowControl w:val="off"/>
        <w:rPr>
          <w:i/>
        </w:rPr>
      </w:pPr>
      <w:r>
        <w:rPr>
          <w:b/>
        </w:rPr>
        <w:t xml:space="preserve">Сведения об участнике закупки, а также сведения о принадлежности участника закупки к субъектам малого и среднего предпринимательства:</w:t>
      </w:r>
      <w:r>
        <w:t xml:space="preserve"> указаны в Анкете участника закупки (приложение к настоящей заявке)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pStyle w:val="1157"/>
        <w:ind w:left="927"/>
        <w:jc w:val="both"/>
        <w:widowControl w:val="off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ind w:firstLine="567"/>
        <w:jc w:val="both"/>
        <w:widowControl w:val="off"/>
      </w:pPr>
      <w:r>
        <w:rPr>
          <w:b/>
          <w:bCs/>
        </w:rPr>
        <w:t xml:space="preserve">2. </w:t>
      </w:r>
      <w:r>
        <w:rPr>
          <w:bCs/>
        </w:rPr>
        <w:t xml:space="preserve">Предложение о цене договора содержится в Сводной таблице стоимости поставок, работ (услуг), при этом п</w:t>
      </w:r>
      <w:r>
        <w:rPr>
          <w:bCs/>
          <w:iCs/>
        </w:rPr>
        <w:t xml:space="preserve">редлагаемая цена </w:t>
      </w:r>
      <w:r>
        <w:t xml:space="preserve">договора не превышает начальную (максимальную) цену договора, установлен</w:t>
      </w:r>
      <w:r>
        <w:t xml:space="preserve">ную в извещении о закупке (начальную (максимальную) цену единицы товара, работы, услуги, установленную в извещении о закупке - если такое требование установлено в извещении о закупке) и включает в себя: все затраты, накладные расходы, налоги, пошлины, тамо</w:t>
      </w:r>
      <w:r>
        <w:t xml:space="preserve">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Условия оплаты соответствуют проекту договора, размещенному в извещении о закупке.</w:t>
      </w:r>
      <w:r/>
    </w:p>
    <w:p>
      <w:pPr>
        <w:ind w:firstLine="567"/>
        <w:jc w:val="both"/>
        <w:widowControl w:val="off"/>
        <w:rPr>
          <w:bCs/>
          <w:iCs/>
        </w:rPr>
      </w:pPr>
      <w:r>
        <w:rPr>
          <w:bCs/>
          <w:iCs/>
        </w:rPr>
      </w:r>
      <w:r>
        <w:rPr>
          <w:bCs/>
          <w:iCs/>
        </w:rPr>
      </w:r>
      <w:r>
        <w:rPr>
          <w:bCs/>
          <w:iCs/>
        </w:rPr>
      </w:r>
    </w:p>
    <w:p>
      <w:pPr>
        <w:ind w:firstLine="567"/>
        <w:jc w:val="both"/>
        <w:widowControl w:val="off"/>
        <w:rPr>
          <w:b/>
        </w:rPr>
      </w:pPr>
      <w:r>
        <w:rPr>
          <w:b/>
        </w:rPr>
        <w:t xml:space="preserve">3. </w:t>
      </w:r>
      <w:r>
        <w:rPr>
          <w:b/>
          <w:bCs/>
        </w:rPr>
        <w:t xml:space="preserve">Согласие участника закупки исполнить условия договора в соответствии с извещением о закупке.</w:t>
      </w:r>
      <w:r>
        <w:rPr>
          <w:b/>
        </w:rPr>
      </w:r>
      <w:r>
        <w:rPr>
          <w:b/>
        </w:rPr>
      </w:r>
    </w:p>
    <w:p>
      <w:pPr>
        <w:ind w:firstLine="567"/>
        <w:jc w:val="both"/>
        <w:widowControl w:val="off"/>
      </w:pPr>
      <w:r>
        <w:t xml:space="preserve">Изучив извещение о проведении закупки в электронном магазине ___________ </w:t>
      </w:r>
      <w:r>
        <w:rPr>
          <w:i/>
        </w:rPr>
        <w:t xml:space="preserve">(указать наименование участника закупки)</w:t>
      </w:r>
      <w:r>
        <w:t xml:space="preserve"> настоящим выражает согласие исполнить все приведенные в нем условия договора в соответствии с Техническим предложением (приложение к настоящей заявке), в том числе: </w:t>
      </w:r>
      <w:r/>
    </w:p>
    <w:p>
      <w:pPr>
        <w:ind w:firstLine="540"/>
        <w:jc w:val="both"/>
        <w:spacing w:after="60"/>
        <w:widowControl w:val="off"/>
        <w:tabs>
          <w:tab w:val="left" w:pos="1080" w:leader="none"/>
        </w:tabs>
        <w:rPr>
          <w:rStyle w:val="1313"/>
          <w:i w:val="0"/>
          <w:sz w:val="24"/>
        </w:rPr>
      </w:pPr>
      <w:r>
        <w:rPr>
          <w:rStyle w:val="1313"/>
          <w:sz w:val="24"/>
        </w:rPr>
        <w:t xml:space="preserve">Далее указывается необходимое согласие (в зависимости от предмета договора)</w:t>
      </w:r>
      <w:r>
        <w:rPr>
          <w:rStyle w:val="1313"/>
          <w:i w:val="0"/>
          <w:sz w:val="24"/>
        </w:rPr>
      </w:r>
      <w:r>
        <w:rPr>
          <w:rStyle w:val="1313"/>
          <w:i w:val="0"/>
          <w:sz w:val="24"/>
        </w:rPr>
      </w:r>
    </w:p>
    <w:p>
      <w:pPr>
        <w:ind w:firstLine="567"/>
        <w:jc w:val="both"/>
        <w:widowControl w:val="off"/>
        <w:tabs>
          <w:tab w:val="num" w:pos="0" w:leader="none"/>
        </w:tabs>
      </w:pPr>
      <w:r>
        <w:t xml:space="preserve">- выполнить работы (или оказать услуги), указанные в извещении закупке, на условиях, предусмотренных проектом договора;</w:t>
      </w:r>
      <w:r/>
    </w:p>
    <w:p>
      <w:pPr>
        <w:ind w:firstLine="567"/>
        <w:jc w:val="both"/>
        <w:widowControl w:val="off"/>
        <w:tabs>
          <w:tab w:val="num" w:pos="0" w:leader="none"/>
        </w:tabs>
      </w:pPr>
      <w:r/>
      <w:r/>
    </w:p>
    <w:p>
      <w:pPr>
        <w:ind w:firstLine="567"/>
        <w:jc w:val="both"/>
        <w:widowControl w:val="off"/>
        <w:tabs>
          <w:tab w:val="num" w:pos="0" w:leader="none"/>
        </w:tabs>
        <w:rPr>
          <w:rStyle w:val="1313"/>
          <w:sz w:val="24"/>
        </w:rPr>
      </w:pPr>
      <w:r>
        <w:t xml:space="preserve">- поставить товар, который указан в извещении о закупке </w:t>
      </w:r>
      <w:r>
        <w:rPr>
          <w:rStyle w:val="1313"/>
          <w:sz w:val="24"/>
        </w:rPr>
        <w:t xml:space="preserve">(в отношении которого в таком извещении в соответствии с требованиями, установленными п. 7.1.4. Стандарта содержится указание на товарный знак, на условиях, предусмотренных проектом договора и не подлежащих изменению по результатам проведения закупки);</w:t>
      </w:r>
      <w:r>
        <w:rPr>
          <w:rStyle w:val="1313"/>
          <w:sz w:val="24"/>
        </w:rPr>
      </w:r>
      <w:r>
        <w:rPr>
          <w:rStyle w:val="1313"/>
          <w:sz w:val="24"/>
        </w:rPr>
      </w:r>
    </w:p>
    <w:p>
      <w:pPr>
        <w:ind w:firstLine="567"/>
        <w:jc w:val="both"/>
        <w:widowControl w:val="off"/>
        <w:tabs>
          <w:tab w:val="num" w:pos="0" w:leader="none"/>
        </w:tabs>
      </w:pPr>
      <w:r/>
      <w:r/>
    </w:p>
    <w:p>
      <w:pPr>
        <w:ind w:firstLine="567"/>
        <w:jc w:val="both"/>
        <w:widowControl w:val="off"/>
        <w:tabs>
          <w:tab w:val="num" w:pos="0" w:leader="none"/>
        </w:tabs>
      </w:pPr>
      <w:r>
        <w:t xml:space="preserve">- поставить товар, который указан в извещении о закупке и конкретные показатели которого соответствуют значениям эквивалентности, установленным данным извещением </w:t>
      </w:r>
      <w:r>
        <w:rPr>
          <w:rStyle w:val="1313"/>
          <w:sz w:val="24"/>
        </w:rPr>
        <w:t xml:space="preserve">(в случае, если участник закупки предлагает поставку товара, который является эквивалентным товару, указанному в таком извещении),</w:t>
      </w:r>
      <w:r>
        <w:t xml:space="preserve"> на условиях, предусмотренных проектом договора.</w:t>
      </w:r>
      <w:r/>
    </w:p>
    <w:p>
      <w:pPr>
        <w:ind w:firstLine="567"/>
        <w:jc w:val="both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4. Статус заявки и декларация соответствия требованиями извещения о закупке.</w:t>
      </w:r>
      <w:r>
        <w:rPr>
          <w:b/>
        </w:rPr>
      </w:r>
      <w:r>
        <w:rPr>
          <w:b/>
        </w:rPr>
      </w:r>
    </w:p>
    <w:p>
      <w:pPr>
        <w:ind w:firstLine="567"/>
        <w:jc w:val="both"/>
        <w:widowControl w:val="off"/>
        <w:tabs>
          <w:tab w:val="left" w:pos="1080" w:leader="none"/>
        </w:tabs>
      </w:pPr>
      <w:r>
        <w:t xml:space="preserve">Настоящая заявка имеет правовой статус оферты и действует в течение 90 дней со дня, следующего за днем окончания подачи заявок.</w:t>
      </w:r>
      <w:r/>
    </w:p>
    <w:p>
      <w:pPr>
        <w:ind w:firstLine="567"/>
        <w:jc w:val="both"/>
        <w:widowControl w:val="off"/>
        <w:tabs>
          <w:tab w:val="left" w:pos="1080" w:leader="none"/>
        </w:tabs>
      </w:pPr>
      <w:r/>
      <w:r/>
    </w:p>
    <w:p>
      <w:pPr>
        <w:ind w:firstLine="567"/>
        <w:jc w:val="both"/>
        <w:widowControl w:val="off"/>
        <w:tabs>
          <w:tab w:val="left" w:pos="1080" w:leader="none"/>
        </w:tabs>
      </w:pPr>
      <w:r>
        <w:t xml:space="preserve">Данная заявка подается с пониманием того, что:</w:t>
      </w:r>
      <w:r/>
    </w:p>
    <w:p>
      <w:pPr>
        <w:ind w:firstLine="567"/>
        <w:jc w:val="both"/>
        <w:widowControl w:val="off"/>
        <w:tabs>
          <w:tab w:val="left" w:pos="1080" w:leader="none"/>
        </w:tabs>
      </w:pPr>
      <w:r>
        <w:t xml:space="preserve">- Заказчик не отвечает и не имеет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  <w:r/>
    </w:p>
    <w:p>
      <w:pPr>
        <w:ind w:firstLine="567"/>
        <w:jc w:val="both"/>
        <w:widowControl w:val="off"/>
        <w:tabs>
          <w:tab w:val="left" w:pos="1080" w:leader="none"/>
        </w:tabs>
      </w:pPr>
      <w:r>
        <w:t xml:space="preserve">- Заказчик оставляет за собой право принять или отклонить любую заявку в соответствии с условиями извещения о закупке.</w:t>
      </w:r>
      <w:r/>
    </w:p>
    <w:p>
      <w:pPr>
        <w:ind w:firstLine="567"/>
        <w:jc w:val="both"/>
        <w:widowControl w:val="off"/>
        <w:tabs>
          <w:tab w:val="left" w:pos="1080" w:leader="none"/>
        </w:tabs>
      </w:pPr>
      <w:r/>
      <w:r/>
    </w:p>
    <w:p>
      <w:pPr>
        <w:ind w:firstLine="567"/>
        <w:jc w:val="both"/>
        <w:widowControl w:val="off"/>
        <w:tabs>
          <w:tab w:val="left" w:pos="1080" w:leader="none"/>
        </w:tabs>
      </w:pPr>
      <w:r>
        <w:t xml:space="preserve">При подаче настоящей заявки 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принимает на себя следующие обязательства, связанные с подачей заявки на участие в закупке: </w:t>
      </w:r>
      <w:r/>
    </w:p>
    <w:p>
      <w:pPr>
        <w:numPr>
          <w:ilvl w:val="0"/>
          <w:numId w:val="9"/>
        </w:numPr>
        <w:ind w:left="0" w:firstLine="567"/>
        <w:jc w:val="both"/>
        <w:widowControl w:val="off"/>
        <w:tabs>
          <w:tab w:val="left" w:pos="1080" w:leader="none"/>
        </w:tabs>
      </w:pPr>
      <w:r>
        <w:t xml:space="preserve">не изменять (не вносить изменения) и/или не отзывать свою заявку в течение срока ее действия после истечения срока окончания подачи заявок;</w:t>
      </w:r>
      <w:r/>
    </w:p>
    <w:p>
      <w:pPr>
        <w:numPr>
          <w:ilvl w:val="0"/>
          <w:numId w:val="9"/>
        </w:numPr>
        <w:ind w:left="0" w:firstLine="567"/>
        <w:jc w:val="both"/>
        <w:widowControl w:val="off"/>
        <w:tabs>
          <w:tab w:val="left" w:pos="1080" w:leader="none"/>
        </w:tabs>
      </w:pPr>
      <w:r>
        <w:t xml:space="preserve">предоставлять достоверные и неискаженные документы, сведения и/или информацию, приведенные в составе заявки; </w:t>
      </w:r>
      <w:r/>
    </w:p>
    <w:p>
      <w:pPr>
        <w:numPr>
          <w:ilvl w:val="0"/>
          <w:numId w:val="9"/>
        </w:numPr>
        <w:ind w:left="0" w:firstLine="567"/>
        <w:jc w:val="both"/>
        <w:widowControl w:val="off"/>
        <w:tabs>
          <w:tab w:val="left" w:pos="1080" w:leader="none"/>
        </w:tabs>
      </w:pPr>
      <w:r>
        <w:t xml:space="preserve">заключить договор в порядке и на условиях, установленных в извещении о закупке порядке, в случае признания ________________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участником, предложившим наилучшую заявку, либо единственным участником, соответствующим требованиям извещения о закупке.</w:t>
      </w:r>
      <w:r/>
    </w:p>
    <w:p>
      <w:pPr>
        <w:ind w:firstLine="567"/>
        <w:jc w:val="both"/>
        <w:widowControl w:val="off"/>
        <w:tabs>
          <w:tab w:val="left" w:pos="1080" w:leader="none"/>
        </w:tabs>
      </w:pPr>
      <w:r/>
      <w:r/>
    </w:p>
    <w:p>
      <w:pPr>
        <w:ind w:firstLine="567"/>
        <w:jc w:val="both"/>
        <w:widowControl w:val="off"/>
        <w:tabs>
          <w:tab w:val="left" w:pos="1080" w:leader="none"/>
        </w:tabs>
      </w:pPr>
      <w:r>
        <w:t xml:space="preserve">Я, нижеподписавшийся, настоящим удостоверяю, что на момент подписания настоящей заявки 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полностью удовлетворяет требованиям к участникам закупки и в частности: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является полностью правоспособным;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является полностью дееспособным </w:t>
      </w:r>
      <w:r>
        <w:rPr>
          <w:i/>
        </w:rPr>
        <w:t xml:space="preserve">(заполняется в случае подачи заявки физическим лицом)</w:t>
      </w:r>
      <w:r>
        <w:t xml:space="preserve">;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является субъектом малого и среднего предпринимательства, в соответствии с критериями, установленными требованиями действующего законодательства;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не находится в процессе ликвидации, не имеет вступившего в законную силу решения арбитражного суда о признании ________________________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банкротом и об открытии конкурсного производства, на имущество ________________________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не наложен арест, экономическая деятельность ________________________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не приостановлена.</w:t>
      </w:r>
      <w:r/>
    </w:p>
    <w:p>
      <w:pPr>
        <w:ind w:firstLine="567"/>
        <w:jc w:val="both"/>
        <w:widowControl w:val="off"/>
        <w:rPr>
          <w:rFonts w:eastAsia="Arial Unicode MS"/>
          <w:sz w:val="22"/>
          <w:szCs w:val="22"/>
        </w:rPr>
      </w:pPr>
      <w:r>
        <w:t xml:space="preserve">- </w:t>
      </w:r>
      <w:r>
        <w:rPr>
          <w:rFonts w:eastAsia="Arial Unicode MS"/>
        </w:rPr>
        <w:t xml:space="preserve"> отсутствуют </w:t>
      </w:r>
      <w:r>
        <w:t xml:space="preserve"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</w:r>
      <w:r>
        <w:rPr>
          <w:rStyle w:val="1104"/>
          <w:color w:val="000000"/>
        </w:rPr>
        <w:t xml:space="preserve">законодательством</w:t>
      </w:r>
      <w:r>
        <w:t xml:space="preserve"> Российской Федерации о налогах и сборах, которые реструк</w:t>
      </w:r>
      <w:r>
        <w:t xml:space="preserve">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</w:t>
      </w:r>
      <w:r>
        <w:rPr>
          <w:rStyle w:val="1104"/>
          <w:color w:val="000000"/>
        </w:rPr>
        <w:t xml:space="preserve">законодательством</w:t>
      </w:r>
      <w:r>
        <w:t xml:space="preserve"> Российской Федерации о налог</w:t>
      </w:r>
      <w:r>
        <w:t xml:space="preserve">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</w:t>
      </w:r>
      <w:r>
        <w:t xml:space="preserve">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>
        <w:rPr>
          <w:rFonts w:eastAsia="Arial Unicode MS"/>
        </w:rPr>
        <w:t xml:space="preserve">;</w:t>
      </w:r>
      <w:r>
        <w:rPr>
          <w:rFonts w:eastAsia="Arial Unicode MS"/>
          <w:sz w:val="22"/>
          <w:szCs w:val="22"/>
        </w:rPr>
      </w:r>
      <w:r>
        <w:rPr>
          <w:rFonts w:eastAsia="Arial Unicode MS"/>
          <w:sz w:val="22"/>
          <w:szCs w:val="22"/>
        </w:rPr>
      </w:r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/>
      <w:bookmarkStart w:id="14" w:name="_Ref305883131"/>
      <w:r>
        <w:rPr>
          <w:bCs/>
        </w:rPr>
        <w:t xml:space="preserve">не включен в </w:t>
      </w:r>
      <w:r>
        <w:rPr>
          <w:rFonts w:eastAsia="Arial Unicode MS"/>
          <w:bCs/>
        </w:rPr>
        <w:t xml:space="preserve">Реестр</w:t>
      </w:r>
      <w:r>
        <w:rPr>
          <w:bCs/>
        </w:rPr>
        <w:t xml:space="preserve"> недобросовестных поставщиков</w:t>
      </w:r>
      <w:r>
        <w:rPr>
          <w:rFonts w:eastAsia="Arial Unicode MS"/>
          <w:bCs/>
        </w:rPr>
        <w:t xml:space="preserve"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>
        <w:rPr>
          <w:bCs/>
        </w:rPr>
        <w:t xml:space="preserve"> либо в </w:t>
      </w:r>
      <w:r>
        <w:rPr>
          <w:rFonts w:eastAsia="Arial Unicode MS"/>
          <w:bCs/>
        </w:rPr>
        <w:t xml:space="preserve">Реестр недобросовестных поставщиков, который ведется в соответствии с Федеральным законом </w:t>
      </w:r>
      <w:bookmarkEnd w:id="14"/>
      <w:r>
        <w:rPr>
          <w:rFonts w:eastAsia="Arial Unicode MS"/>
          <w:bCs/>
        </w:rPr>
        <w:t xml:space="preserve">№ 44-ФЗ от 05.04.2013 года «О контрактной системе в сфере закупок товаров, работ, услуг для обеспечения государственных и муниципальных нужд».</w:t>
      </w:r>
      <w:r/>
    </w:p>
    <w:p>
      <w:pPr>
        <w:ind w:left="567"/>
        <w:jc w:val="both"/>
        <w:widowControl w:val="off"/>
        <w:tabs>
          <w:tab w:val="num" w:pos="1080" w:leader="none"/>
          <w:tab w:val="num" w:pos="1620" w:leader="none"/>
        </w:tabs>
      </w:pPr>
      <w:r/>
      <w:r/>
    </w:p>
    <w:p>
      <w:pPr>
        <w:ind w:firstLine="540"/>
        <w:jc w:val="both"/>
        <w:widowControl w:val="off"/>
        <w:tabs>
          <w:tab w:val="left" w:pos="1080" w:leader="none"/>
        </w:tabs>
      </w:pPr>
      <w:r>
        <w:t xml:space="preserve">В соответствии с извещением о закупки, информация о соответствии требованиям извещения о закупки, а также информация по сути наших предложений в данной закупке представлена в следующих документах, которые являются неотъемлемой частью заявки.</w:t>
      </w:r>
      <w:r/>
    </w:p>
    <w:p>
      <w:pPr>
        <w:ind w:firstLine="567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</w:pPr>
      <w:r>
        <w:rPr>
          <w:bCs/>
        </w:rPr>
        <w:t xml:space="preserve">Приложения:</w:t>
      </w:r>
      <w:r>
        <w:rPr>
          <w:bCs/>
        </w:rPr>
      </w:r>
      <w:r>
        <w:rPr>
          <w:bCs/>
        </w:rPr>
      </w:r>
    </w:p>
    <w:p>
      <w:pPr>
        <w:pStyle w:val="1157"/>
        <w:numPr>
          <w:ilvl w:val="0"/>
          <w:numId w:val="7"/>
        </w:numPr>
        <w:contextualSpacing/>
        <w:ind w:left="567" w:firstLine="567"/>
        <w:jc w:val="both"/>
      </w:pPr>
      <w:r>
        <w:rPr>
          <w:i/>
          <w:lang w:val="ru-RU"/>
        </w:rPr>
        <w:t xml:space="preserve">Сводная таблица стоимости поставок, работ (услуг)</w:t>
      </w:r>
      <w:r/>
    </w:p>
    <w:p>
      <w:pPr>
        <w:pStyle w:val="1157"/>
        <w:numPr>
          <w:ilvl w:val="0"/>
          <w:numId w:val="7"/>
        </w:numPr>
        <w:contextualSpacing/>
        <w:ind w:left="567" w:firstLine="567"/>
        <w:jc w:val="both"/>
      </w:pPr>
      <w:r>
        <w:rPr>
          <w:i/>
        </w:rPr>
        <w:t xml:space="preserve">Анкета участника закупки</w:t>
      </w:r>
      <w:r/>
    </w:p>
    <w:p>
      <w:pPr>
        <w:pStyle w:val="1157"/>
        <w:numPr>
          <w:ilvl w:val="0"/>
          <w:numId w:val="7"/>
        </w:numPr>
        <w:contextualSpacing/>
        <w:ind w:left="567" w:firstLine="567"/>
        <w:jc w:val="both"/>
      </w:pPr>
      <w:r>
        <w:rPr>
          <w:i/>
        </w:rPr>
        <w:t xml:space="preserve">Техническое предложение</w:t>
      </w:r>
      <w:r/>
    </w:p>
    <w:p>
      <w:pPr>
        <w:pStyle w:val="1157"/>
        <w:numPr>
          <w:ilvl w:val="0"/>
          <w:numId w:val="7"/>
        </w:numPr>
        <w:contextualSpacing/>
        <w:ind w:left="567" w:firstLine="567"/>
        <w:jc w:val="both"/>
      </w:pPr>
      <w:r>
        <w:t xml:space="preserve">…</w:t>
      </w:r>
      <w:r/>
    </w:p>
    <w:p>
      <w:pPr>
        <w:ind w:firstLine="567"/>
      </w:pPr>
      <w:r/>
      <w:r/>
    </w:p>
    <w:p>
      <w:pPr>
        <w:ind w:firstLine="567"/>
      </w:pPr>
      <w:r/>
      <w:r/>
    </w:p>
    <w:p>
      <w:pPr>
        <w:ind w:firstLine="567"/>
      </w:pPr>
      <w:r/>
      <w:r/>
    </w:p>
    <w:p>
      <w:pPr>
        <w:ind w:firstLine="567"/>
        <w:jc w:val="both"/>
      </w:pPr>
      <w:r>
        <w:t xml:space="preserve">Участник закупки _______________</w:t>
      </w:r>
      <w:r>
        <w:rPr>
          <w:i/>
          <w:iCs/>
        </w:rPr>
        <w:t xml:space="preserve"> </w:t>
      </w:r>
      <w:r>
        <w:rPr>
          <w:i/>
        </w:rPr>
        <w:t xml:space="preserve">(наименование участника)</w:t>
      </w:r>
      <w:r/>
    </w:p>
    <w:p>
      <w:pPr>
        <w:ind w:firstLine="567"/>
        <w:jc w:val="both"/>
      </w:pPr>
      <w:r>
        <w:t xml:space="preserve">Подпись, расшифровка подписи _______________</w:t>
      </w:r>
      <w:r/>
    </w:p>
    <w:p>
      <w:pPr>
        <w:ind w:firstLine="567"/>
        <w:jc w:val="both"/>
      </w:pPr>
      <w:r>
        <w:t xml:space="preserve">Печать (при наличии)</w:t>
      </w:r>
      <w:r/>
    </w:p>
    <w:p>
      <w:pPr>
        <w:ind w:firstLine="567"/>
        <w:jc w:val="both"/>
      </w:pPr>
      <w:r/>
      <w:r/>
    </w:p>
    <w:p>
      <w:pPr>
        <w:ind w:firstLine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49"/>
        </w:numPr>
        <w:ind w:left="0" w:firstLine="567"/>
        <w:jc w:val="both"/>
        <w:tabs>
          <w:tab w:val="clear" w:pos="7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49"/>
        </w:numPr>
        <w:ind w:left="0" w:firstLine="567"/>
        <w:jc w:val="both"/>
        <w:tabs>
          <w:tab w:val="clear" w:pos="7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Заявка должна быть подписана и скреплена печатью (при наличии печати), если Участником закупки является юридическое лицо, индивидуальный пр</w:t>
      </w:r>
      <w:r>
        <w:rPr>
          <w:sz w:val="20"/>
          <w:szCs w:val="20"/>
        </w:rPr>
        <w:t xml:space="preserve">едприниматель. Если Участником закупки является физическое лицо – он подписывается собственноручно таким Участником. Такое требование по подписанию всех приложений к заявке распространяется на все приложения, оформляемые и подписываемые Участником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67"/>
        <w:jc w:val="both"/>
        <w:sectPr>
          <w:footerReference w:type="default" r:id="rId12"/>
          <w:footerReference w:type="first" r:id="rId13"/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</w:sectPr>
      </w:pPr>
      <w:r/>
      <w:r/>
    </w:p>
    <w:p>
      <w:pPr>
        <w:jc w:val="center"/>
        <w:spacing w:before="360"/>
        <w:widowControl w:val="off"/>
        <w:rPr>
          <w:b/>
          <w:lang w:val="en-US" w:eastAsia="en-US"/>
        </w:rPr>
        <w:outlineLvl w:val="1"/>
      </w:pPr>
      <w:r>
        <w:rPr>
          <w:b/>
          <w:lang w:val="en-US" w:eastAsia="en-US"/>
        </w:rPr>
        <w:t xml:space="preserve">ФОРМА </w:t>
      </w:r>
      <w:r>
        <w:rPr>
          <w:b/>
          <w:lang w:eastAsia="en-US"/>
        </w:rPr>
        <w:t xml:space="preserve">2.</w:t>
      </w:r>
      <w:r>
        <w:rPr>
          <w:b/>
          <w:lang w:val="en-US" w:eastAsia="en-US"/>
        </w:rPr>
        <w:t xml:space="preserve"> СВОДНАЯ ТАБЛИЦА СТОИМОСТИ ПОСТАВОК, РАБОТ (УСЛУГ)</w:t>
      </w:r>
      <w:r>
        <w:rPr>
          <w:b/>
          <w:lang w:val="en-US" w:eastAsia="en-US"/>
        </w:rPr>
      </w:r>
      <w:r>
        <w:rPr>
          <w:b/>
          <w:lang w:val="en-US" w:eastAsia="en-US"/>
        </w:rPr>
      </w:r>
    </w:p>
    <w:p>
      <w:pPr>
        <w:widowControl w:val="off"/>
      </w:pPr>
      <w:r/>
      <w:r/>
    </w:p>
    <w:p>
      <w:pPr>
        <w:ind w:right="34"/>
        <w:widowControl w:val="off"/>
        <w:rPr>
          <w:bCs/>
        </w:rPr>
      </w:pPr>
      <w:r>
        <w:rPr>
          <w:bCs/>
        </w:rPr>
        <w:t xml:space="preserve">Способ и наименование закупки, с указанием № на ЭП _______________________________________</w:t>
      </w:r>
      <w:r>
        <w:rPr>
          <w:bCs/>
        </w:rPr>
      </w:r>
      <w:r>
        <w:rPr>
          <w:bCs/>
        </w:rPr>
      </w:r>
    </w:p>
    <w:p>
      <w:pPr>
        <w:ind w:right="34"/>
        <w:widowControl w:val="off"/>
      </w:pPr>
      <w:r>
        <w:t xml:space="preserve">Наименование и адрес участника ___________________________________________________________</w:t>
      </w:r>
      <w:r/>
    </w:p>
    <w:p>
      <w:pPr>
        <w:ind w:right="34"/>
        <w:rPr>
          <w:b/>
          <w:sz w:val="20"/>
        </w:rPr>
        <w:outlineLvl w:val="2"/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tbl>
      <w:tblPr>
        <w:tblW w:w="5192" w:type="pct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13"/>
        <w:gridCol w:w="1378"/>
        <w:gridCol w:w="1039"/>
        <w:gridCol w:w="1565"/>
        <w:gridCol w:w="992"/>
        <w:gridCol w:w="964"/>
        <w:gridCol w:w="1218"/>
        <w:gridCol w:w="2167"/>
        <w:gridCol w:w="2126"/>
        <w:gridCol w:w="780"/>
        <w:gridCol w:w="786"/>
        <w:gridCol w:w="1127"/>
        <w:gridCol w:w="1099"/>
      </w:tblGrid>
      <w:tr>
        <w:tblPrEx/>
        <w:trPr>
          <w:trHeight w:val="939"/>
        </w:trPr>
        <w:tc>
          <w:tcPr>
            <w:tcW w:w="132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№  п/п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Наименование товаров. работ, услуг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32" w:type="pct"/>
            <w:textDirection w:val="lrTb"/>
            <w:noWrap w:val="false"/>
          </w:tcPr>
          <w:p>
            <w:pPr>
              <w:ind w:right="-109" w:firstLine="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Полная характеристика (комплектация) 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500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Производитель товара </w:t>
            </w:r>
            <w:r>
              <w:rPr>
                <w:b/>
                <w:sz w:val="18"/>
                <w:szCs w:val="18"/>
              </w:rPr>
              <w:t xml:space="preserve">(</w:t>
            </w:r>
            <w:r>
              <w:rPr>
                <w:b/>
                <w:sz w:val="18"/>
                <w:szCs w:val="18"/>
                <w:lang w:eastAsia="en-US"/>
              </w:rPr>
              <w:t xml:space="preserve">для работ, услуг – страна регистрации исполнителя, подрядчика)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17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Наименование аналога*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08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Полная характеристика (комплектация) аналога*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89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Производитель аналога*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692" w:type="pct"/>
            <w:textDirection w:val="lrTb"/>
            <w:noWrap w:val="false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Страна происхождения товара, в том числе поставляемого при выполнении работ, оказании услуг (указывается наименование страны происхождения товара и код по ОКСМ)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W w:w="679" w:type="pct"/>
            <w:textDirection w:val="lrTb"/>
            <w:noWrap w:val="false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Номер реестровой записи товара (в случае предоставления в составе заявки товаров российского/ЕАЭС происхождения) (указывается номер реестровой записи товара при его наличии)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W w:w="249" w:type="pct"/>
            <w:textDirection w:val="lrTb"/>
            <w:noWrap w:val="false"/>
          </w:tcPr>
          <w:p>
            <w:pPr>
              <w:ind w:right="-47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Единицы</w:t>
            </w:r>
            <w:r>
              <w:rPr>
                <w:b/>
                <w:sz w:val="18"/>
                <w:szCs w:val="18"/>
                <w:lang w:eastAsia="en-US"/>
              </w:rPr>
              <w:br w:type="textWrapping" w:clear="all"/>
              <w:t xml:space="preserve">измерения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251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Количество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60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Цена за единицу, руб. без НДС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Общая цена, руб.,  без НДС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187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3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4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5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6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7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8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9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10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12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13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…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Итого общая цена без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Сумма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Общая сумма с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</w:tbl>
    <w:p>
      <w:pPr>
        <w:ind w:right="34"/>
        <w:rPr>
          <w:b/>
          <w:sz w:val="20"/>
        </w:rPr>
        <w:outlineLvl w:val="2"/>
      </w:pPr>
      <w:r>
        <w:rPr>
          <w:b/>
          <w:sz w:val="20"/>
        </w:rPr>
        <w:t xml:space="preserve">*</w:t>
      </w:r>
      <w:r>
        <w:rPr>
          <w:b/>
          <w:sz w:val="20"/>
          <w:lang w:eastAsia="en-US"/>
        </w:rPr>
        <w:t xml:space="preserve"> гр. 5-7 заполняются только в случае замены требуемой продукции на аналог, при этом в гр. 2 и 3 должна быть указана требуемая продукция в соответствии с разделом 7 «ТЕХНИЧЕСКАЯ ЧАСТЬ».</w:t>
      </w:r>
      <w:r>
        <w:rPr>
          <w:b/>
          <w:sz w:val="20"/>
        </w:rPr>
      </w:r>
      <w:r>
        <w:rPr>
          <w:b/>
          <w:sz w:val="20"/>
        </w:rPr>
      </w:r>
    </w:p>
    <w:p>
      <w:pPr>
        <w:ind w:right="34"/>
        <w:rPr>
          <w:b/>
          <w:i/>
          <w:sz w:val="20"/>
        </w:rPr>
        <w:outlineLvl w:val="2"/>
      </w:pPr>
      <w:r>
        <w:rPr>
          <w:b/>
          <w:i/>
          <w:sz w:val="20"/>
        </w:rPr>
      </w:r>
      <w:r>
        <w:rPr>
          <w:b/>
          <w:i/>
          <w:sz w:val="20"/>
        </w:rPr>
      </w:r>
      <w:r>
        <w:rPr>
          <w:b/>
          <w:i/>
          <w:sz w:val="20"/>
        </w:rPr>
      </w:r>
    </w:p>
    <w:p>
      <w:pPr>
        <w:ind w:right="34" w:firstLine="567"/>
        <w:jc w:val="both"/>
        <w:shd w:val="clear" w:color="ffffff" w:themeColor="background1" w:fill="ffffff" w:themeFill="background1"/>
        <w:rPr>
          <w:i/>
          <w:highlight w:val="white"/>
        </w:rPr>
        <w:outlineLvl w:val="2"/>
      </w:pPr>
      <w:r>
        <w:rPr>
          <w:b/>
          <w:i/>
          <w:highlight w:val="white"/>
          <w:shd w:val="clear" w:color="ffff00" w:fill="ffff00"/>
        </w:rPr>
        <w:t xml:space="preserve">Подтверждаю согласие со сроками, порядком и условиями поставки/выполнения работ/оказания услуг и оплаты, в соответствии с настоящим извещением о закупке и приложениями к нему</w:t>
      </w:r>
      <w:r>
        <w:rPr>
          <w:i/>
          <w:highlight w:val="white"/>
        </w:rPr>
      </w:r>
      <w:r>
        <w:rPr>
          <w:i/>
          <w:highlight w:val="white"/>
        </w:rPr>
      </w:r>
    </w:p>
    <w:p>
      <w:pPr>
        <w:ind w:right="34"/>
        <w:rPr>
          <w:vertAlign w:val="superscript"/>
        </w:rPr>
        <w:outlineLvl w:val="2"/>
      </w:pPr>
      <w:r>
        <w:rPr>
          <w:vertAlign w:val="superscript"/>
        </w:rPr>
      </w:r>
      <w:r>
        <w:rPr>
          <w:vertAlign w:val="superscript"/>
        </w:rPr>
      </w:r>
      <w:r>
        <w:rPr>
          <w:vertAlign w:val="superscript"/>
        </w:rPr>
      </w:r>
    </w:p>
    <w:p>
      <w:pPr>
        <w:ind w:right="34"/>
        <w:keepLines/>
        <w:keepNext/>
        <w:outlineLvl w:val="2"/>
      </w:pPr>
      <w:r/>
      <w:r/>
    </w:p>
    <w:p>
      <w:pPr>
        <w:ind w:right="34"/>
        <w:keepLines/>
        <w:keepNext/>
        <w:outlineLvl w:val="2"/>
      </w:pPr>
      <w:r>
        <w:t xml:space="preserve">М.П.  (Должность, подпись и ФИО уполномоченного представителя Участника) __________________________________________________</w:t>
      </w:r>
      <w:r/>
    </w:p>
    <w:p>
      <w:pPr>
        <w:ind w:right="34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rPr>
          <w:b/>
          <w:sz w:val="20"/>
        </w:rPr>
        <w:outlineLvl w:val="2"/>
      </w:pPr>
      <w:r>
        <w:rPr>
          <w:b/>
          <w:sz w:val="20"/>
        </w:rPr>
        <w:t xml:space="preserve">Инструкция по заполнению:</w:t>
      </w:r>
      <w:r>
        <w:rPr>
          <w:b/>
          <w:sz w:val="20"/>
        </w:rPr>
      </w:r>
      <w:r>
        <w:rPr>
          <w:b/>
          <w:sz w:val="20"/>
        </w:rPr>
      </w:r>
    </w:p>
    <w:p>
      <w:pPr>
        <w:numPr>
          <w:ilvl w:val="6"/>
          <w:numId w:val="37"/>
        </w:numPr>
        <w:ind w:left="0" w:right="34" w:firstLine="0"/>
        <w:widowControl w:val="off"/>
        <w:tabs>
          <w:tab w:val="num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Предоставляется файл в текстовом формате (</w:t>
      </w:r>
      <w:r>
        <w:rPr>
          <w:sz w:val="20"/>
          <w:szCs w:val="20"/>
          <w:lang w:val="en-US"/>
        </w:rPr>
        <w:t xml:space="preserve">MSOffice</w:t>
      </w:r>
      <w:r>
        <w:rPr>
          <w:sz w:val="20"/>
          <w:szCs w:val="20"/>
        </w:rPr>
        <w:t xml:space="preserve">) и заверенный в формате </w:t>
      </w:r>
      <w:r>
        <w:rPr>
          <w:sz w:val="20"/>
          <w:szCs w:val="20"/>
          <w:lang w:val="en-US"/>
        </w:rPr>
        <w:t xml:space="preserve">PDF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6"/>
          <w:numId w:val="26"/>
        </w:numPr>
        <w:ind w:left="0" w:right="34" w:firstLine="0"/>
        <w:widowControl w:val="off"/>
        <w:tabs>
          <w:tab w:val="num" w:pos="284" w:leader="none"/>
        </w:tabs>
        <w:rPr>
          <w:sz w:val="20"/>
        </w:rPr>
      </w:pPr>
      <w:r>
        <w:rPr>
          <w:sz w:val="20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sz w:val="20"/>
        </w:rPr>
      </w:r>
      <w:r>
        <w:rPr>
          <w:sz w:val="20"/>
        </w:rPr>
      </w:r>
    </w:p>
    <w:p>
      <w:pPr>
        <w:numPr>
          <w:ilvl w:val="6"/>
          <w:numId w:val="26"/>
        </w:numPr>
        <w:ind w:left="0" w:right="34" w:firstLine="0"/>
        <w:widowControl w:val="off"/>
        <w:tabs>
          <w:tab w:val="num" w:pos="284" w:leader="none"/>
        </w:tabs>
        <w:rPr>
          <w:sz w:val="20"/>
          <w:highlight w:val="white"/>
        </w:rPr>
      </w:pPr>
      <w:r>
        <w:rPr>
          <w:sz w:val="20"/>
        </w:rPr>
        <w:t xml:space="preserve">В столбцах 2 и 3 в обязатель</w:t>
      </w:r>
      <w:r>
        <w:rPr>
          <w:sz w:val="20"/>
          <w:highlight w:val="white"/>
        </w:rPr>
        <w:t xml:space="preserve">ном порядке размещаются все позиции и характеристики продукции, указанные в техническом</w:t>
      </w:r>
      <w:r>
        <w:rPr>
          <w:sz w:val="20"/>
          <w:highlight w:val="white"/>
        </w:rPr>
        <w:t xml:space="preserve"> задании. Если предлагаемая продукция и характеристики идентичны требуемым к поставке, заполняется столбец 4 (столбцы 5-7 в этом случае не подлежат заполнению). В случае наличия отклонения в названии либо в характеристиках продукции заполняются столбцы 5-7</w:t>
      </w:r>
      <w:r>
        <w:rPr>
          <w:sz w:val="20"/>
          <w:highlight w:val="white"/>
          <w:shd w:val="clear" w:color="ffff00" w:fill="ffff00"/>
        </w:rPr>
        <w:t xml:space="preserve">, столбец 4 не заполняется.</w:t>
      </w:r>
      <w:r>
        <w:rPr>
          <w:sz w:val="20"/>
          <w:highlight w:val="white"/>
        </w:rPr>
        <w:t xml:space="preserve"> 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numPr>
          <w:ilvl w:val="6"/>
          <w:numId w:val="26"/>
        </w:numPr>
        <w:ind w:left="0" w:right="34" w:firstLine="0"/>
        <w:jc w:val="both"/>
        <w:shd w:val="clear" w:color="ffffff" w:themeColor="background1" w:fill="ffffff" w:themeFill="background1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  <w:highlight w:val="white"/>
        </w:rPr>
        <w:t xml:space="preserve">Участник закупки </w:t>
      </w:r>
      <w:r>
        <w:rPr>
          <w:sz w:val="20"/>
          <w:highlight w:val="white"/>
          <w:u w:val="single"/>
        </w:rPr>
        <w:t xml:space="preserve">обязан</w:t>
      </w:r>
      <w:r>
        <w:rPr>
          <w:sz w:val="20"/>
          <w:highlight w:val="white"/>
        </w:rPr>
        <w:t xml:space="preserve"> указать в столбце 8 сведения о стране происхождения товара, </w:t>
      </w:r>
      <w:r>
        <w:rPr>
          <w:b/>
          <w:sz w:val="20"/>
          <w:highlight w:val="white"/>
        </w:rPr>
        <w:t xml:space="preserve">в том числе поставляемого при выполнении работ, оказании ус</w:t>
      </w:r>
      <w:r>
        <w:rPr>
          <w:b/>
          <w:bCs/>
          <w:sz w:val="20"/>
          <w:szCs w:val="20"/>
          <w:highlight w:val="white"/>
        </w:rPr>
        <w:t xml:space="preserve">луг.</w:t>
      </w:r>
      <w:r>
        <w:rPr>
          <w:sz w:val="20"/>
          <w:szCs w:val="20"/>
          <w:highlight w:val="white"/>
          <w:shd w:val="clear" w:color="ffff00" w:fill="ffff00"/>
        </w:rPr>
        <w:t xml:space="preserve"> Указанные сведения используются Заказчиком в том числе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преимущество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numPr>
          <w:ilvl w:val="6"/>
          <w:numId w:val="26"/>
        </w:numPr>
        <w:ind w:left="0" w:right="34" w:firstLine="0"/>
        <w:jc w:val="both"/>
        <w:shd w:val="clear" w:color="ffffff" w:themeColor="background1" w:fill="ffffff" w:themeFill="background1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  <w:highlight w:val="white"/>
        </w:rPr>
        <w:t xml:space="preserve">В случае предостав</w:t>
      </w:r>
      <w:r>
        <w:rPr>
          <w:sz w:val="20"/>
          <w:highlight w:val="white"/>
        </w:rPr>
        <w:t xml:space="preserve">ления Участником закупки предложения к поставке товаров российского</w:t>
      </w:r>
      <w:r>
        <w:rPr>
          <w:sz w:val="18"/>
          <w:szCs w:val="18"/>
          <w:highlight w:val="white"/>
        </w:rPr>
        <w:t xml:space="preserve">/ЕАЭС</w:t>
      </w:r>
      <w:r>
        <w:rPr>
          <w:sz w:val="20"/>
          <w:highlight w:val="white"/>
        </w:rPr>
        <w:t xml:space="preserve"> происхождения (в том числи при выполнении работ/оказании услуг по договору) в соответствии с требованиями постановления </w:t>
      </w:r>
      <w:r>
        <w:rPr>
          <w:sz w:val="20"/>
          <w:szCs w:val="20"/>
          <w:highlight w:val="white"/>
          <w:shd w:val="clear" w:color="ffff00" w:fill="ffff00"/>
        </w:rPr>
        <w:t xml:space="preserve">ПП № 1875</w:t>
      </w:r>
      <w:r>
        <w:rPr>
          <w:sz w:val="20"/>
          <w:highlight w:val="white"/>
        </w:rPr>
        <w:t xml:space="preserve"> в столбце 9 указывается номер реестровой записи предлагаемого товара из одного из следующих реестров, определенных постановлением: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pStyle w:val="962"/>
        <w:ind w:left="0" w:firstLine="567"/>
        <w:jc w:val="both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реестр российской промышленной продукции (https://gisp.gov.ru/pp719v2/pub/prod/);</w:t>
      </w:r>
      <w:r>
        <w:rPr>
          <w:highlight w:val="white"/>
        </w:rPr>
      </w:r>
      <w:r>
        <w:rPr>
          <w:highlight w:val="white"/>
        </w:rPr>
      </w:r>
    </w:p>
    <w:p>
      <w:pPr>
        <w:pStyle w:val="962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российских программ для электронных вычислительных машин и баз данных (https://reestr.digital.gov.ru/reestr/);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962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 (https://eac-reestr.digital.gov.ru/reestr/).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962"/>
        <w:ind w:left="0" w:firstLine="567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ff" w:themeColor="background1" w:fill="ffffff" w:themeFill="background1"/>
        </w:rPr>
        <w:t xml:space="preserve">До внесения изменений в право ЕАЭС, предусматривающих подтверждение страны происхождения товаров, указанных в приложениях № 1 (запреты), 2 (ограничения) к ПП № 1875, путем предоставлени</w:t>
      </w:r>
      <w:r>
        <w:rPr>
          <w:sz w:val="20"/>
          <w:szCs w:val="20"/>
          <w:highlight w:val="white"/>
          <w:shd w:val="clear" w:color="ffffff" w:themeColor="background1" w:fill="ffffff" w:themeFill="background1"/>
        </w:rPr>
        <w:t xml:space="preserve">я информации из евразийского реестра промышленных товаров, документом, подтверждающим происхождение таких товаров из государств - членов ЕАЭС, за исключением Российской Федерации, является сертификат о происхождении товара, выданный уполномоченным органом </w:t>
      </w:r>
      <w:r>
        <w:rPr>
          <w:sz w:val="20"/>
          <w:szCs w:val="20"/>
          <w:highlight w:val="white"/>
          <w:shd w:val="clear" w:color="ffffff" w:themeColor="background1" w:fill="ffffff" w:themeFill="background1"/>
        </w:rPr>
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962"/>
        <w:ind w:left="0" w:firstLine="567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запрет, ограничение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57"/>
        <w:ind w:left="0" w:firstLine="567"/>
        <w:jc w:val="both"/>
        <w:shd w:val="clear" w:color="ffffff" w:themeColor="background1" w:fill="ffffff" w:themeFill="background1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В случае отсутствия номера реестровой записи или указания участником номера реестровой записи, не соответствующего предлагаемому товару, такой товар, в случае применения к нему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запрета, ограничения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1875, будет рассматриваться как товар иностранного происхождени</w:t>
      </w:r>
      <w:r>
        <w:rPr>
          <w:sz w:val="20"/>
          <w:szCs w:val="20"/>
          <w:highlight w:val="white"/>
          <w:shd w:val="clear" w:color="ffff00" w:fill="ffff00"/>
        </w:rPr>
        <w:t xml:space="preserve">я.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numPr>
          <w:ilvl w:val="6"/>
          <w:numId w:val="26"/>
        </w:numPr>
        <w:ind w:left="0" w:right="34" w:firstLine="0"/>
        <w:widowControl w:val="off"/>
        <w:tabs>
          <w:tab w:val="num" w:pos="284" w:leader="none"/>
        </w:tabs>
        <w:rPr>
          <w:sz w:val="20"/>
        </w:rPr>
      </w:pPr>
      <w:r>
        <w:rPr>
          <w:sz w:val="20"/>
          <w:highlight w:val="white"/>
        </w:rPr>
        <w:t xml:space="preserve">Сводная таблица стоимости на поставку будет служить основой для подготовки приложения к Договору. В этой связи в целях снижения общих затр</w:t>
      </w:r>
      <w:r>
        <w:rPr>
          <w:sz w:val="20"/>
        </w:rPr>
        <w:t xml:space="preserve">ат сил и времени Заказчика и участника на подготовку Договора данное предложение следует подготовить так, чтобы его можно было с минимальными изменениями включить в Договор.</w:t>
      </w:r>
      <w:r>
        <w:rPr>
          <w:sz w:val="20"/>
        </w:rPr>
      </w:r>
      <w:r>
        <w:rPr>
          <w:sz w:val="20"/>
        </w:rPr>
      </w:r>
    </w:p>
    <w:p>
      <w:pPr>
        <w:ind w:firstLine="567"/>
        <w:jc w:val="both"/>
      </w:pPr>
      <w:r/>
      <w:r/>
    </w:p>
    <w:p>
      <w:pPr>
        <w:ind w:firstLine="567"/>
        <w:jc w:val="both"/>
      </w:pPr>
      <w:r/>
      <w:r/>
    </w:p>
    <w:p>
      <w:pPr>
        <w:pStyle w:val="1123"/>
        <w:jc w:val="center"/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123"/>
        <w:jc w:val="center"/>
        <w:rPr>
          <w:sz w:val="24"/>
          <w:szCs w:val="24"/>
        </w:rPr>
      </w:pPr>
      <w:r/>
      <w:bookmarkStart w:id="15" w:name="_Toc536483697"/>
      <w:r>
        <w:rPr>
          <w:sz w:val="24"/>
          <w:szCs w:val="24"/>
        </w:rPr>
        <w:t xml:space="preserve">ФОРМА 3. АНКЕТА УЧАСТНИКА ЗАКУПКИ</w:t>
      </w:r>
      <w:bookmarkEnd w:id="1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34"/>
        <w:rPr>
          <w:lang w:eastAsia="ar-SA"/>
        </w:rPr>
      </w:pPr>
      <w:r>
        <w:rPr>
          <w:lang w:eastAsia="ar-SA"/>
        </w:rPr>
      </w:r>
      <w:r>
        <w:rPr>
          <w:lang w:eastAsia="ar-SA"/>
        </w:rPr>
      </w:r>
      <w:r>
        <w:rPr>
          <w:lang w:eastAsia="ar-SA"/>
        </w:rPr>
      </w:r>
    </w:p>
    <w:tbl>
      <w:tblPr>
        <w:tblW w:w="465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555"/>
        <w:gridCol w:w="5524"/>
        <w:gridCol w:w="3613"/>
      </w:tblGrid>
      <w:tr>
        <w:tblPrEx/>
        <w:trPr>
          <w:cantSplit/>
          <w:trHeight w:val="240"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№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Наименование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Сведения об Участнике закупки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  <w:trHeight w:val="471"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Полное наименование  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Свидетельство (лист записи) о внесении в Единый государственный реестр юридических лиц/Единый государственный реестр индивидуальных предпринимателей (дата и номер, кем выдано)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ОГРН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ИНН/КПП 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ind w:firstLine="33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Сведения о среднесписочной численности (на последнюю отчетную дату)</w:t>
            </w:r>
            <w:r>
              <w:rPr>
                <w:rStyle w:val="1107"/>
                <w:sz w:val="20"/>
              </w:rPr>
              <w:footnoteReference w:id="5"/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ind w:firstLine="33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Сведения о наличии (отсутствии) нарушений требований Налогового кодекса РФ (в текущем году и двум предшествующим годам)</w:t>
            </w:r>
            <w:r>
              <w:rPr>
                <w:rStyle w:val="1107"/>
                <w:sz w:val="20"/>
              </w:rPr>
              <w:footnoteReference w:id="6"/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ind w:firstLine="33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Сведения о наличии (отсутствии) просроченных невыполненных обязательств   перед ГК «Россети» (при наличии, указать сумму и наименование компании)</w:t>
            </w:r>
            <w:r>
              <w:rPr>
                <w:rStyle w:val="1107"/>
                <w:sz w:val="20"/>
              </w:rPr>
              <w:footnoteReference w:id="7"/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ind w:firstLine="33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>
              <w:rPr>
                <w:rStyle w:val="1107"/>
                <w:sz w:val="20"/>
              </w:rPr>
              <w:footnoteReference w:id="8"/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ОКПО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ОКТМО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Адрес фактического местоположения (юридический адрес)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Почтовый адрес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Филиалы: перечислить наименования и почтовые адреса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Режим налогообложения (Общий/УСН)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Плательщик НДС (Да/Нет)  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Телефоны Участника закупки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  <w:trHeight w:val="116"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Факс Участника закупки (с указанием кода города)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Адрес электронной почты Участника закупки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Фамилия, Имя и Отчество руководителя Участника, имеющего право подписи согласно учредительным документам Участника закупки, с указанием должности и контактного телефона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Фамилия, Имя и Отчество ответственного лица Участника закупки с указанием должности и контактного телефона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 w:firstLine="0"/>
              <w:jc w:val="both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Отнесение Участника закупки к категории субъектов малого и среднего предпринимательства</w:t>
            </w:r>
            <w:r>
              <w:rPr>
                <w:rStyle w:val="1107"/>
                <w:sz w:val="20"/>
              </w:rPr>
              <w:footnoteReference w:id="9"/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</w:tbl>
    <w:p>
      <w:pPr>
        <w:ind w:right="34"/>
        <w:rPr>
          <w:lang w:eastAsia="ar-SA"/>
        </w:rPr>
      </w:pPr>
      <w:r>
        <w:rPr>
          <w:lang w:eastAsia="ar-SA"/>
        </w:rPr>
      </w:r>
      <w:r>
        <w:rPr>
          <w:lang w:eastAsia="ar-SA"/>
        </w:rPr>
      </w:r>
      <w:r>
        <w:rPr>
          <w:lang w:eastAsia="ar-SA"/>
        </w:rPr>
      </w:r>
    </w:p>
    <w:p>
      <w:pPr>
        <w:ind w:right="34"/>
        <w:rPr>
          <w:szCs w:val="22"/>
          <w:lang w:eastAsia="ar-SA"/>
        </w:rPr>
      </w:pPr>
      <w:r>
        <w:rPr>
          <w:lang w:eastAsia="ar-SA"/>
        </w:rPr>
        <w:t xml:space="preserve">_______________________________                               ____________________________</w:t>
      </w:r>
      <w:r>
        <w:rPr>
          <w:szCs w:val="22"/>
          <w:lang w:eastAsia="ar-SA"/>
        </w:rPr>
      </w:r>
      <w:r>
        <w:rPr>
          <w:szCs w:val="22"/>
          <w:lang w:eastAsia="ar-SA"/>
        </w:rPr>
      </w:r>
    </w:p>
    <w:p>
      <w:pPr>
        <w:ind w:right="34"/>
        <w:rPr>
          <w:sz w:val="20"/>
          <w:lang w:eastAsia="ar-SA"/>
        </w:rPr>
      </w:pPr>
      <w:r>
        <w:rPr>
          <w:sz w:val="18"/>
          <w:lang w:eastAsia="ar-SA"/>
        </w:rPr>
        <w:t xml:space="preserve">(Подпись уполномоченного представителя)</w:t>
      </w:r>
      <w:r>
        <w:rPr>
          <w:sz w:val="18"/>
          <w:lang w:eastAsia="ar-SA"/>
        </w:rPr>
        <w:tab/>
      </w:r>
      <w:r>
        <w:rPr>
          <w:sz w:val="18"/>
          <w:lang w:eastAsia="ar-SA"/>
        </w:rPr>
        <w:tab/>
      </w:r>
      <w:r>
        <w:rPr>
          <w:sz w:val="18"/>
          <w:lang w:eastAsia="ar-SA"/>
        </w:rPr>
        <w:tab/>
      </w:r>
      <w:r>
        <w:rPr>
          <w:sz w:val="18"/>
          <w:lang w:eastAsia="ar-SA"/>
        </w:rPr>
        <w:tab/>
        <w:t xml:space="preserve">(ФИО и должность подписавшего</w:t>
      </w:r>
      <w:r>
        <w:rPr>
          <w:sz w:val="20"/>
          <w:lang w:eastAsia="ar-SA"/>
        </w:rPr>
        <w:t xml:space="preserve">)</w:t>
      </w:r>
      <w:r>
        <w:rPr>
          <w:sz w:val="20"/>
          <w:lang w:eastAsia="ar-SA"/>
        </w:rPr>
      </w:r>
      <w:r>
        <w:rPr>
          <w:sz w:val="20"/>
          <w:lang w:eastAsia="ar-SA"/>
        </w:rPr>
      </w:r>
    </w:p>
    <w:p>
      <w:pPr>
        <w:ind w:right="34"/>
        <w:shd w:val="clear" w:color="auto" w:fill="ffffff"/>
        <w:rPr>
          <w:lang w:eastAsia="ar-SA"/>
        </w:rPr>
      </w:pPr>
      <w:r>
        <w:rPr>
          <w:lang w:eastAsia="ar-SA"/>
        </w:rPr>
        <w:tab/>
        <w:t xml:space="preserve">МП</w:t>
      </w:r>
      <w:r>
        <w:rPr>
          <w:lang w:eastAsia="ar-SA"/>
        </w:rPr>
      </w:r>
      <w:r>
        <w:rPr>
          <w:lang w:eastAsia="ar-SA"/>
        </w:rPr>
      </w:r>
    </w:p>
    <w:p>
      <w:pPr>
        <w:ind w:right="34"/>
        <w:rPr>
          <w:b/>
          <w:bCs/>
          <w:sz w:val="20"/>
          <w:lang w:val="en-US" w:eastAsia="en-US"/>
        </w:rPr>
      </w:pPr>
      <w:r>
        <w:rPr>
          <w:b/>
          <w:bCs/>
          <w:sz w:val="20"/>
          <w:lang w:val="en-US" w:eastAsia="en-US"/>
        </w:rPr>
      </w:r>
      <w:r>
        <w:rPr>
          <w:b/>
          <w:bCs/>
          <w:sz w:val="20"/>
          <w:lang w:val="en-US" w:eastAsia="en-US"/>
        </w:rPr>
      </w:r>
      <w:r>
        <w:rPr>
          <w:b/>
          <w:bCs/>
          <w:sz w:val="20"/>
          <w:lang w:val="en-US" w:eastAsia="en-US"/>
        </w:rPr>
      </w:r>
    </w:p>
    <w:p>
      <w:pPr>
        <w:ind w:right="34"/>
        <w:rPr>
          <w:b/>
          <w:bCs/>
          <w:sz w:val="22"/>
          <w:lang w:val="en-US" w:eastAsia="en-US"/>
        </w:rPr>
      </w:pPr>
      <w:r>
        <w:rPr>
          <w:b/>
          <w:bCs/>
          <w:sz w:val="22"/>
          <w:lang w:val="en-US" w:eastAsia="en-US"/>
        </w:rPr>
        <w:t xml:space="preserve">Инструкция по заполнению*</w:t>
      </w:r>
      <w:r>
        <w:rPr>
          <w:b/>
          <w:bCs/>
          <w:sz w:val="22"/>
          <w:lang w:val="en-US" w:eastAsia="en-US"/>
        </w:rPr>
      </w:r>
      <w:r>
        <w:rPr>
          <w:b/>
          <w:bCs/>
          <w:sz w:val="22"/>
          <w:lang w:val="en-US" w:eastAsia="en-US"/>
        </w:rPr>
      </w:r>
    </w:p>
    <w:p>
      <w:pPr>
        <w:ind w:right="34"/>
        <w:spacing w:after="120"/>
        <w:rPr>
          <w:sz w:val="22"/>
        </w:rPr>
      </w:pPr>
      <w:r>
        <w:rPr>
          <w:sz w:val="22"/>
        </w:rPr>
        <w:t xml:space="preserve">1) Предоставляется файл в текстовом формате (</w:t>
      </w:r>
      <w:r>
        <w:rPr>
          <w:sz w:val="22"/>
          <w:lang w:val="en-US"/>
        </w:rPr>
        <w:t xml:space="preserve">MS</w:t>
      </w:r>
      <w:r>
        <w:rPr>
          <w:sz w:val="22"/>
        </w:rPr>
        <w:t xml:space="preserve"> </w:t>
      </w:r>
      <w:r>
        <w:rPr>
          <w:sz w:val="22"/>
          <w:lang w:val="en-US"/>
        </w:rPr>
        <w:t xml:space="preserve">Office</w:t>
      </w:r>
      <w:r>
        <w:rPr>
          <w:sz w:val="22"/>
        </w:rPr>
        <w:t xml:space="preserve">) и заверенный в формате </w:t>
      </w:r>
      <w:r>
        <w:rPr>
          <w:sz w:val="22"/>
          <w:lang w:val="en-US"/>
        </w:rPr>
        <w:t xml:space="preserve">PDF</w:t>
      </w:r>
      <w:r>
        <w:rPr>
          <w:sz w:val="22"/>
        </w:rPr>
        <w:t xml:space="preserve">.</w:t>
      </w:r>
      <w:r>
        <w:rPr>
          <w:sz w:val="22"/>
        </w:rPr>
      </w:r>
      <w:r>
        <w:rPr>
          <w:sz w:val="22"/>
        </w:rPr>
      </w:r>
    </w:p>
    <w:p>
      <w:pPr>
        <w:ind w:right="34"/>
        <w:spacing w:after="120"/>
        <w:rPr>
          <w:sz w:val="22"/>
        </w:rPr>
      </w:pPr>
      <w:r>
        <w:rPr>
          <w:sz w:val="22"/>
        </w:rPr>
        <w:t xml:space="preserve">2) Участники должны заполнить приведенную выше таблицу по всем позициям. В случае отсутствия каких-либо данных указать слово «Нет».</w:t>
      </w:r>
      <w:r>
        <w:rPr>
          <w:sz w:val="22"/>
        </w:rPr>
      </w:r>
      <w:r>
        <w:rPr>
          <w:sz w:val="22"/>
        </w:rPr>
      </w:r>
    </w:p>
    <w:p>
      <w:pPr>
        <w:ind w:right="34"/>
        <w:spacing w:after="120"/>
        <w:rPr>
          <w:b/>
          <w:bCs/>
          <w:sz w:val="22"/>
          <w:lang w:eastAsia="ar-SA"/>
        </w:rPr>
      </w:pPr>
      <w:r>
        <w:rPr>
          <w:sz w:val="22"/>
        </w:rPr>
        <w:t xml:space="preserve">3) В графе 14 "Банковские реквизиты…" указываются реквизиты, которые будут использованы при заключении Договора.</w:t>
      </w:r>
      <w:r>
        <w:rPr>
          <w:b/>
          <w:bCs/>
          <w:sz w:val="22"/>
          <w:lang w:eastAsia="ar-SA"/>
        </w:rPr>
      </w:r>
      <w:r>
        <w:rPr>
          <w:b/>
          <w:bCs/>
          <w:sz w:val="22"/>
          <w:lang w:eastAsia="ar-SA"/>
        </w:rPr>
      </w:r>
    </w:p>
    <w:p>
      <w:pPr>
        <w:ind w:firstLine="539"/>
        <w:jc w:val="right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39"/>
        <w:jc w:val="right"/>
        <w:rPr>
          <w:b/>
        </w:rPr>
      </w:pPr>
      <w:r>
        <w:rPr>
          <w:b/>
        </w:rPr>
        <w:br w:type="page" w:clear="all"/>
        <w:t xml:space="preserve">Приложение</w:t>
      </w:r>
      <w:r>
        <w:rPr>
          <w:b/>
        </w:rPr>
      </w:r>
      <w:r>
        <w:rPr>
          <w:b/>
        </w:rPr>
      </w:r>
    </w:p>
    <w:p>
      <w:pPr>
        <w:ind w:firstLine="539"/>
        <w:jc w:val="center"/>
        <w:rPr>
          <w:b/>
        </w:rPr>
      </w:pPr>
      <w:r>
        <w:rPr>
          <w:b/>
        </w:rPr>
        <w:t xml:space="preserve">Перечень публичных должностных лиц</w:t>
      </w:r>
      <w:r>
        <w:rPr>
          <w:b/>
        </w:rPr>
      </w:r>
      <w:r>
        <w:rPr>
          <w:b/>
        </w:rPr>
      </w:r>
    </w:p>
    <w:p>
      <w:pPr>
        <w:ind w:firstLine="539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39"/>
        <w:jc w:val="both"/>
      </w:pPr>
      <w: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19" w:tooltip="consultantplus://offline/ref=B7E04B8F5BC345C22463EADCAE81D93CF0C11310A0643D58FEE589F49Ff2C9L" w:history="1">
        <w:r>
          <w:t xml:space="preserve">Конвенцией</w:t>
        </w:r>
      </w:hyperlink>
      <w: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  <w:r/>
    </w:p>
    <w:p>
      <w:pPr>
        <w:ind w:firstLine="539"/>
        <w:jc w:val="both"/>
      </w:pPr>
      <w:r>
        <w:t xml:space="preserve">Российская Федерация ратифицировала </w:t>
      </w:r>
      <w:hyperlink r:id="rId20" w:tooltip="consultantplus://offline/ref=B7E04B8F5BC345C22463EADCAE81D93CF0C11310A0643D58FEE589F49Ff2C9L" w:history="1">
        <w:r>
          <w:t xml:space="preserve">Конвенцию</w:t>
        </w:r>
      </w:hyperlink>
      <w:r>
        <w:t xml:space="preserve"> ООН против коррупции в 2006 году (8 марта 2006 года принят Федеральный </w:t>
      </w:r>
      <w:hyperlink r:id="rId21" w:tooltip="consultantplus://offline/ref=B7E04B8F5BC345C22463EADCAE81D93CF4CA1215A36F6052F6BC85F6f9C8L" w:history="1">
        <w:r>
          <w:t xml:space="preserve">закон</w:t>
        </w:r>
      </w:hyperlink>
      <w:r>
        <w:t xml:space="preserve"> № 40-ФЗ "О ратификации Конвенции Организации Объединенных Наций против коррупции).</w:t>
      </w:r>
      <w:r/>
    </w:p>
    <w:p>
      <w:pPr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jc w:val="both"/>
      </w:pPr>
      <w:r>
        <w:rPr>
          <w:b/>
        </w:rPr>
        <w:t xml:space="preserve">1. ПУБЛИЧНОЕ ДОЛЖНОСТНОЕ ЛИЦО (ПДЛ)</w:t>
      </w:r>
      <w:r>
        <w:t xml:space="preserve"> – физическое лицо, вне зависимости от его гражданства, отн</w:t>
      </w:r>
      <w:r>
        <w:t xml:space="preserve">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</w:t>
      </w:r>
      <w:r>
        <w:t xml:space="preserve">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</w:t>
      </w:r>
      <w:r>
        <w:t xml:space="preserve">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  <w:r/>
    </w:p>
    <w:p>
      <w:pPr>
        <w:jc w:val="both"/>
      </w:pPr>
      <w:r>
        <w:rPr>
          <w:b/>
        </w:rPr>
        <w:t xml:space="preserve">2.</w:t>
      </w:r>
      <w:r>
        <w:t xml:space="preserve"> </w:t>
      </w:r>
      <w:r>
        <w:rPr>
          <w:b/>
        </w:rPr>
        <w:t xml:space="preserve">ИНОСТРАННОЕ ПУБЛИЧНОЕ ДОЛЖНОСТНОЕ ЛИЦО (ИПДЛ)</w:t>
      </w:r>
      <w:r>
        <w:t xml:space="preserve"> – физическое лицо, вне зависимос</w:t>
      </w:r>
      <w:r>
        <w:t xml:space="preserve">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  <w:r/>
    </w:p>
    <w:p>
      <w:pPr>
        <w:jc w:val="both"/>
      </w:pPr>
      <w: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</w:t>
      </w:r>
      <w:r>
        <w:t xml:space="preserve">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</w:t>
      </w:r>
      <w:r>
        <w:t xml:space="preserve">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</w:t>
      </w:r>
      <w:r>
        <w:t xml:space="preserve">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</w:t>
      </w:r>
      <w:r>
        <w:t xml:space="preserve">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</w:t>
      </w:r>
      <w:r>
        <w:t xml:space="preserve">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  <w:r/>
    </w:p>
    <w:p>
      <w:pPr>
        <w:jc w:val="both"/>
      </w:pPr>
      <w:r>
        <w:rPr>
          <w:b/>
        </w:rPr>
        <w:t xml:space="preserve">3. РОССИЙСКИЕ ПУБЛИЧНЫЕ ДОЛЖНОСТНЫЕ ЛИЦА (РПДЛ)</w:t>
      </w:r>
      <w:r>
        <w:t xml:space="preserve"> – физи</w:t>
      </w:r>
      <w:r>
        <w:t xml:space="preserve">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</w:t>
      </w:r>
      <w:r>
        <w:t xml:space="preserve">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  <w:r/>
    </w:p>
    <w:p>
      <w:pPr>
        <w:ind w:firstLine="708"/>
        <w:jc w:val="both"/>
      </w:pPr>
      <w: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  <w:r/>
    </w:p>
    <w:p>
      <w:pPr>
        <w:ind w:firstLine="540"/>
        <w:jc w:val="both"/>
      </w:pPr>
      <w: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</w:t>
      </w:r>
      <w:r>
        <w:t xml:space="preserve">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</w:t>
      </w:r>
      <w:r>
        <w:t xml:space="preserve">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</w:t>
      </w:r>
      <w:r>
        <w:t xml:space="preserve">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</w:t>
      </w:r>
      <w:r>
        <w:t xml:space="preserve">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</w:t>
      </w:r>
      <w:r>
        <w:t xml:space="preserve">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</w:t>
      </w:r>
      <w:r>
        <w:t xml:space="preserve">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</w:t>
      </w:r>
      <w:r>
        <w:t xml:space="preserve">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</w:t>
      </w:r>
      <w:r>
        <w:t xml:space="preserve">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</w:t>
      </w:r>
      <w:r>
        <w:t xml:space="preserve">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</w:t>
      </w:r>
      <w:r>
        <w:t xml:space="preserve">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</w:t>
      </w:r>
      <w:r>
        <w:t xml:space="preserve">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  <w:r/>
    </w:p>
    <w:p>
      <w:pPr>
        <w:jc w:val="both"/>
      </w:pPr>
      <w:r>
        <w:t xml:space="preserve"> </w:t>
      </w:r>
      <w:bookmarkStart w:id="16" w:name="Par54"/>
      <w:r/>
      <w:bookmarkEnd w:id="16"/>
      <w:r/>
      <w:r/>
    </w:p>
    <w:p>
      <w:pPr>
        <w:jc w:val="both"/>
      </w:pPr>
      <w:r>
        <w:rPr>
          <w:b/>
        </w:rPr>
        <w:t xml:space="preserve">4. МЕЖДУНАРОДНОЕ ПУБЛИЧНОЕ ДОЛЖНОСТНОЕ ЛИЦО (МПДЛ</w:t>
      </w:r>
      <w:r>
        <w:t xml:space="preserve"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  <w:r/>
    </w:p>
    <w:p>
      <w:pPr>
        <w:jc w:val="both"/>
      </w:pPr>
      <w:r>
        <w:rPr>
          <w:b/>
        </w:rPr>
        <w:t xml:space="preserve">5. ЛИЦО, СВЯЗАННОЕ С ПДЛ</w:t>
      </w:r>
      <w:r>
        <w:t xml:space="preserve"> – супруг или супруга ПДЛ, его близкий родственник (родственник по прямой восходящей и нисходящей линии (родители и дети, дедушки, ба</w:t>
      </w:r>
      <w:r>
        <w:t xml:space="preserve">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r/>
    </w:p>
    <w:p>
      <w:pPr>
        <w:jc w:val="both"/>
      </w:pPr>
      <w:r>
        <w:rPr>
          <w:b/>
        </w:rPr>
        <w:t xml:space="preserve">6. Международные организации</w:t>
      </w:r>
      <w: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</w:t>
      </w:r>
      <w:r>
        <w:t xml:space="preserve">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</w:t>
      </w:r>
      <w:r>
        <w:t xml:space="preserve">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r/>
    </w:p>
    <w:p>
      <w:pPr>
        <w:pStyle w:val="1123"/>
        <w:jc w:val="center"/>
        <w:keepNext w:val="0"/>
        <w:spacing w:after="0"/>
        <w:widowControl w:val="off"/>
        <w:rPr>
          <w:sz w:val="24"/>
          <w:szCs w:val="24"/>
        </w:rPr>
      </w:pPr>
      <w:r>
        <w:br w:type="page" w:clear="all"/>
      </w:r>
      <w:bookmarkStart w:id="17" w:name="_Toc536483690"/>
      <w:r/>
      <w:bookmarkStart w:id="18" w:name="_Toc536567158"/>
      <w:r>
        <w:rPr>
          <w:sz w:val="24"/>
          <w:szCs w:val="24"/>
        </w:rPr>
        <w:t xml:space="preserve">ФОРМА </w:t>
      </w:r>
      <w:r>
        <w:rPr>
          <w:sz w:val="24"/>
          <w:szCs w:val="24"/>
          <w:lang w:val="ru-RU"/>
        </w:rPr>
        <w:t xml:space="preserve">4.</w:t>
      </w:r>
      <w:r>
        <w:rPr>
          <w:sz w:val="24"/>
          <w:szCs w:val="24"/>
        </w:rPr>
        <w:t xml:space="preserve"> ТЕХНИЧЕСКОЕ ПРЕДЛОЖЕНИЕ</w:t>
      </w:r>
      <w:bookmarkEnd w:id="17"/>
      <w:r/>
      <w:bookmarkEnd w:id="1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19" w:name="_Toc298234710"/>
      <w:r/>
      <w:bookmarkStart w:id="20" w:name="_Toc255987072"/>
      <w:r/>
      <w:bookmarkStart w:id="21" w:name="_Toc307936260"/>
      <w:r>
        <w:rPr>
          <w:b/>
        </w:rPr>
      </w:r>
      <w:r>
        <w:rPr>
          <w:b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22" w:name="_Toc536483691"/>
      <w:r/>
      <w:bookmarkStart w:id="23" w:name="_Toc536567159"/>
      <w:r>
        <w:rPr>
          <w:b/>
        </w:rPr>
        <w:t xml:space="preserve">Техническое предложение</w:t>
      </w:r>
      <w:bookmarkEnd w:id="19"/>
      <w:r/>
      <w:bookmarkEnd w:id="20"/>
      <w:r>
        <w:rPr>
          <w:b/>
        </w:rPr>
        <w:t xml:space="preserve"> </w:t>
      </w:r>
      <w:bookmarkEnd w:id="21"/>
      <w:r/>
      <w:bookmarkEnd w:id="22"/>
      <w:r/>
      <w:bookmarkEnd w:id="23"/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/>
      <w:bookmarkStart w:id="24" w:name="_Toc247081498"/>
      <w:r>
        <w:rPr>
          <w:b/>
        </w:rPr>
        <w:t xml:space="preserve">Способ и наименование закупки _______________________________________ </w:t>
      </w:r>
      <w:bookmarkEnd w:id="24"/>
      <w:r>
        <w:rPr>
          <w:b/>
        </w:rPr>
      </w:r>
      <w:r>
        <w:rPr>
          <w:b/>
        </w:rPr>
      </w:r>
    </w:p>
    <w:p>
      <w:pPr>
        <w:ind w:firstLine="540"/>
        <w:tabs>
          <w:tab w:val="left" w:pos="1080" w:leader="none"/>
        </w:tabs>
      </w:pPr>
      <w:r>
        <w:rPr>
          <w:b/>
        </w:rPr>
        <w:t xml:space="preserve">Участник закупки:</w:t>
      </w:r>
      <w:r>
        <w:t xml:space="preserve"> ________________________________ </w:t>
      </w:r>
      <w:r/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i/>
        </w:rPr>
      </w:pPr>
      <w:r/>
      <w:bookmarkStart w:id="25" w:name="_Toc247081499"/>
      <w:r>
        <w:rPr>
          <w:b/>
          <w:i/>
        </w:rPr>
        <w:t xml:space="preserve">Суть технического предложения</w:t>
      </w:r>
      <w:bookmarkEnd w:id="25"/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/>
      <w:bookmarkStart w:id="26" w:name="_Toc247081501"/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contextualSpacing/>
        <w:ind w:firstLine="567"/>
        <w:rPr>
          <w:bCs/>
          <w:lang w:eastAsia="ar-SA"/>
        </w:rPr>
      </w:pPr>
      <w:r>
        <w:rPr>
          <w:bCs/>
          <w:lang w:eastAsia="ar-SA"/>
        </w:rPr>
      </w:r>
      <w:r>
        <w:rPr>
          <w:bCs/>
          <w:lang w:eastAsia="ar-SA"/>
        </w:rPr>
      </w:r>
      <w:r>
        <w:rPr>
          <w:bCs/>
          <w:lang w:eastAsia="ar-SA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143"/>
        <w:gridCol w:w="4820"/>
      </w:tblGrid>
      <w:tr>
        <w:tblPrEx/>
        <w:trPr/>
        <w:tc>
          <w:tcPr>
            <w:tcBorders>
              <w:bottom w:val="single" w:color="000000" w:sz="4" w:space="0"/>
            </w:tcBorders>
            <w:tcW w:w="3960" w:type="dxa"/>
            <w:textDirection w:val="lrTb"/>
            <w:noWrap w:val="false"/>
          </w:tcPr>
          <w:p>
            <w:pPr>
              <w:contextualSpacing/>
              <w:ind w:firstLine="567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contextualSpacing/>
              <w:ind w:firstLine="567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  <w:tc>
          <w:tcPr>
            <w:tcBorders>
              <w:bottom w:val="single" w:color="000000" w:sz="4" w:space="0"/>
            </w:tcBorders>
            <w:tcW w:w="4820" w:type="dxa"/>
            <w:textDirection w:val="lrTb"/>
            <w:noWrap w:val="false"/>
          </w:tcPr>
          <w:p>
            <w:pPr>
              <w:contextualSpacing/>
              <w:ind w:firstLine="567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960" w:type="dxa"/>
            <w:textDirection w:val="lrTb"/>
            <w:noWrap w:val="false"/>
          </w:tcPr>
          <w:p>
            <w:pPr>
              <w:contextualSpacing/>
              <w:ind w:firstLine="34"/>
              <w:rPr>
                <w:bCs/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  <w:t xml:space="preserve">(подпись уполномоченного представителя)</w:t>
            </w:r>
            <w:r>
              <w:rPr>
                <w:bCs/>
                <w:sz w:val="20"/>
                <w:lang w:eastAsia="ar-SA"/>
              </w:rPr>
            </w:r>
            <w:r>
              <w:rPr>
                <w:bCs/>
                <w:sz w:val="20"/>
                <w:lang w:eastAsia="ar-SA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contextualSpacing/>
              <w:ind w:firstLine="34"/>
              <w:rPr>
                <w:bCs/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</w:r>
            <w:r>
              <w:rPr>
                <w:bCs/>
                <w:sz w:val="20"/>
                <w:lang w:eastAsia="ar-SA"/>
              </w:rPr>
            </w:r>
            <w:r>
              <w:rPr>
                <w:bCs/>
                <w:sz w:val="20"/>
                <w:lang w:eastAsia="ar-SA"/>
              </w:rPr>
            </w:r>
          </w:p>
        </w:tc>
        <w:tc>
          <w:tcPr>
            <w:tcBorders>
              <w:top w:val="single" w:color="000000" w:sz="4" w:space="0"/>
            </w:tcBorders>
            <w:tcW w:w="4820" w:type="dxa"/>
            <w:textDirection w:val="lrTb"/>
            <w:noWrap w:val="false"/>
          </w:tcPr>
          <w:p>
            <w:pPr>
              <w:contextualSpacing/>
              <w:ind w:firstLine="34"/>
              <w:rPr>
                <w:bCs/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  <w:t xml:space="preserve">(фамилия, имя, отчество подписавшего, должность)</w:t>
            </w:r>
            <w:r>
              <w:rPr>
                <w:bCs/>
                <w:sz w:val="20"/>
                <w:lang w:eastAsia="ar-SA"/>
              </w:rPr>
            </w:r>
            <w:r>
              <w:rPr>
                <w:bCs/>
                <w:sz w:val="20"/>
                <w:lang w:eastAsia="ar-SA"/>
              </w:rPr>
            </w:r>
          </w:p>
        </w:tc>
      </w:tr>
    </w:tbl>
    <w:p>
      <w:pPr>
        <w:contextualSpacing/>
        <w:ind w:firstLine="567"/>
        <w:rPr>
          <w:b/>
          <w:bCs/>
          <w:lang w:eastAsia="ar-SA"/>
        </w:rPr>
      </w:pPr>
      <w:r/>
      <w:bookmarkStart w:id="27" w:name="_Toc247081500"/>
      <w:r>
        <w:rPr>
          <w:b/>
          <w:bCs/>
          <w:lang w:eastAsia="ar-SA"/>
        </w:rPr>
        <w:t xml:space="preserve">                М.П.</w:t>
      </w:r>
      <w:bookmarkEnd w:id="26"/>
      <w:r>
        <w:rPr>
          <w:b/>
          <w:bCs/>
          <w:lang w:eastAsia="ar-SA"/>
        </w:rPr>
      </w:r>
      <w:r>
        <w:rPr>
          <w:b/>
          <w:bCs/>
          <w:lang w:eastAsia="ar-SA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bookmarkEnd w:id="27"/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15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15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</w:t>
      </w:r>
      <w:r>
        <w:rPr>
          <w:sz w:val="20"/>
          <w:szCs w:val="20"/>
        </w:rPr>
        <w:t xml:space="preserve"> формы) и адрес место нахождения. Участник закупки, являющийся физическим лицом, в том числе индивидуальным предпринимателем указывает полностью фамилию, имя, отчество, паспортные данные, адрес прописки (индивидуальный предприниматель – адрес регистрации).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15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Выше приведена форма титульного листа Технического предложения.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15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тексте Технического предложения приводится информация в объеме, достаточном для анализа выполнения всех требований раздела 6 «ПРОЕКТ ДОГОВОРА» и раздела 7 «ТЕХНИЧЕСКАЯ ЧАСТЬ».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15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</w:rPr>
        <w:t xml:space="preserve">Техничес</w:t>
      </w:r>
      <w:r>
        <w:rPr>
          <w:sz w:val="20"/>
          <w:szCs w:val="20"/>
          <w:highlight w:val="white"/>
        </w:rPr>
        <w:t xml:space="preserve">кое предложение Участника закупки, поми</w:t>
      </w:r>
      <w:r>
        <w:rPr>
          <w:sz w:val="20"/>
          <w:szCs w:val="20"/>
          <w:highlight w:val="white"/>
        </w:rPr>
        <w:t xml:space="preserve">мо материалов, указанных в тексте технических требований, должно включать, в зависимости от предмета закупки: описание всех предлагаемых технических решений, описание характеристик систем с необходимыми чертежами, порядок оказания услуг по договору и т.п.;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numPr>
          <w:ilvl w:val="0"/>
          <w:numId w:val="15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Участник в Техническом предложении должен представить таблицу соответствия своего предложения требованиям раздела 7 «ТЕХНИЧЕСКАЯ ЧАСТЬ» в соответствии с приведенной формой: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965"/>
        <w:gridCol w:w="3111"/>
        <w:gridCol w:w="1701"/>
        <w:gridCol w:w="2316"/>
        <w:gridCol w:w="1233"/>
        <w:gridCol w:w="1095"/>
      </w:tblGrid>
      <w:tr>
        <w:tblPrEx/>
        <w:trPr>
          <w:jc w:val="center"/>
          <w:trHeight w:val="392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66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№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111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№ п.п. </w:t>
            </w:r>
            <w:r>
              <w:rPr>
                <w:sz w:val="20"/>
                <w:szCs w:val="20"/>
                <w:highlight w:val="white"/>
              </w:rPr>
              <w:t xml:space="preserve">документов раздела 7 «ТЕХНИЧЕСКАЯ ЧАСТЬ»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Выполнение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316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Пояснения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8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Ссылки на ПУ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jc w:val="center"/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966" w:type="dxa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3111" w:type="dxa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316" w:type="dxa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8" w:type="dxa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076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№: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5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порядковый номер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076" w:type="dxa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№ п.п. </w:t>
            </w:r>
            <w:r>
              <w:rPr>
                <w:sz w:val="20"/>
                <w:szCs w:val="20"/>
                <w:highlight w:val="white"/>
              </w:rPr>
              <w:t xml:space="preserve">документов раздела 7 «ТЕХНИЧЕСКАЯ ЧАСТЬ»: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5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номер пункта </w:t>
            </w:r>
            <w:r>
              <w:rPr>
                <w:sz w:val="20"/>
                <w:szCs w:val="20"/>
                <w:highlight w:val="white"/>
              </w:rPr>
              <w:t xml:space="preserve">документов раздела 7 «ТЕХНИЧЕСКАЯ ЧАСТЬ» (технического задания и т.п.). В случае, если в документе отсутствует нумерация/пункты, указывается название такого документа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076" w:type="dxa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Выполнение: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5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076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5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"да" - будет выполнен полностью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076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5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"нет" - не будет выполнен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076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5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"частично" – выполняется с "такими-то" ограничениями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076" w:type="dxa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Пояснения: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5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необходимые пояснения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076" w:type="dxa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Ссылки на ПУ: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50" w:type="dxa"/>
            <w:textDirection w:val="lrTb"/>
            <w:noWrap w:val="false"/>
          </w:tcPr>
          <w:p>
            <w:pPr>
              <w:ind w:left="459" w:firstLine="81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номер пункта материалов Предложений Участника (ПУ), где приведены подробные объяснения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jc w:val="both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Для предлагаемого оборудования и/или предла</w:t>
      </w:r>
      <w:r>
        <w:rPr>
          <w:sz w:val="20"/>
          <w:szCs w:val="20"/>
        </w:rPr>
        <w:t xml:space="preserve">гаемых материалов и/или предлагаемой продукции (если техническим заданием предусмотрена поставка оборудования и/или материалов и/или продукции) таблицы технических требований, установленных в разделе 7 «ТЕХНИЧЕСКАЯ ЧАСТЬ», предоставляются в следующем виде: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1086"/>
        <w:gridCol w:w="5429"/>
        <w:gridCol w:w="1853"/>
        <w:gridCol w:w="2053"/>
      </w:tblGrid>
      <w:tr>
        <w:tblPrEx/>
        <w:trPr/>
        <w:tc>
          <w:tcPr>
            <w:tcBorders>
              <w:top w:val="single" w:color="000000" w:sz="4" w:space="0"/>
            </w:tcBorders>
            <w:tcW w:w="521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260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параметра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889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Требуемое значение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98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Предлагаемое Участником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71"/>
        </w:trPr>
        <w:tc>
          <w:tcPr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98"/>
        </w:trPr>
        <w:tc>
          <w:tcPr>
            <w:tcBorders>
              <w:bottom w:val="single" w:color="000000" w:sz="4" w:space="0"/>
            </w:tcBorders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left="567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15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Если Заказчик устанавливает одно из условий: «не более», «не менее», «не ниже», то Участник закупки должен конкретизировать данный параметр без применения вышеуказанных условий или слов.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15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к Техническому предложению должен приложить файл технического предложения, выполненный в формате MS Word.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23"/>
        <w:jc w:val="center"/>
        <w:keepNext w:val="0"/>
        <w:spacing w:after="0"/>
        <w:widowControl w:val="off"/>
        <w:rPr>
          <w:bCs/>
          <w:caps/>
          <w:sz w:val="24"/>
          <w:szCs w:val="24"/>
          <w:highlight w:val="white"/>
        </w:rPr>
      </w:pPr>
      <w:r>
        <w:rPr>
          <w:sz w:val="20"/>
        </w:rPr>
        <w:br w:type="page" w:clear="all"/>
      </w:r>
      <w:r/>
      <w:r/>
      <w:r/>
      <w:r/>
      <w:r/>
      <w:r>
        <w:rPr>
          <w:bCs/>
          <w:caps/>
          <w:sz w:val="24"/>
          <w:szCs w:val="24"/>
          <w:highlight w:val="white"/>
        </w:rPr>
      </w:r>
      <w:bookmarkStart w:id="37" w:name="_Toc536483696"/>
      <w:r/>
      <w:bookmarkStart w:id="38" w:name="_Ref166330580"/>
      <w:r>
        <w:rPr>
          <w:sz w:val="24"/>
          <w:szCs w:val="24"/>
        </w:rPr>
        <w:t xml:space="preserve">ФОРМА </w:t>
      </w:r>
      <w:r>
        <w:rPr>
          <w:sz w:val="24"/>
          <w:szCs w:val="24"/>
          <w:lang w:val="ru-RU"/>
        </w:rPr>
        <w:t xml:space="preserve">5</w:t>
      </w:r>
      <w:r>
        <w:rPr>
          <w:sz w:val="24"/>
          <w:szCs w:val="24"/>
        </w:rPr>
        <w:t xml:space="preserve">. АНТИКОРРУПЦИОННЫЕ ОБЯЗАТЕЛЬСТВА</w:t>
      </w:r>
      <w:bookmarkEnd w:id="37"/>
      <w:r>
        <w:rPr>
          <w:bCs/>
          <w:caps/>
          <w:sz w:val="24"/>
          <w:szCs w:val="24"/>
          <w:highlight w:val="white"/>
        </w:rPr>
      </w:r>
      <w:r>
        <w:rPr>
          <w:bCs/>
          <w:caps/>
          <w:sz w:val="24"/>
          <w:szCs w:val="24"/>
          <w:highlight w:val="white"/>
        </w:rPr>
      </w:r>
    </w:p>
    <w:p>
      <w:pPr>
        <w:jc w:val="center"/>
      </w:pPr>
      <w:r/>
      <w:r/>
    </w:p>
    <w:p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Антикоррупционные обязательства р</w:t>
      </w:r>
      <w:r>
        <w:rPr>
          <w:color w:val="000000"/>
        </w:rPr>
        <w:t xml:space="preserve">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1"/>
        </w:numPr>
        <w:ind w:left="0" w:firstLine="709"/>
        <w:jc w:val="both"/>
        <w:tabs>
          <w:tab w:val="num" w:pos="0" w:leader="none"/>
        </w:tabs>
        <w:rPr>
          <w:color w:val="000000"/>
          <w:highlight w:val="white"/>
        </w:rPr>
      </w:pPr>
      <w:r>
        <w:rPr>
          <w:color w:val="000000"/>
        </w:rPr>
        <w:t xml:space="preserve">Потенциа</w:t>
      </w:r>
      <w:r>
        <w:rPr>
          <w:color w:val="000000"/>
        </w:rPr>
        <w:t xml:space="preserve">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</w:t>
      </w:r>
      <w:r>
        <w:rPr>
          <w:color w:val="000000"/>
          <w:highlight w:val="white"/>
        </w:rPr>
        <w:t xml:space="preserve">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highlight w:val="white"/>
        </w:rPr>
      </w:r>
      <w:r>
        <w:rPr>
          <w:color w:val="000000"/>
          <w:highlight w:val="white"/>
        </w:rPr>
      </w:r>
    </w:p>
    <w:p>
      <w:pPr>
        <w:contextualSpacing/>
        <w:ind w:firstLine="709"/>
        <w:jc w:val="both"/>
        <w:widowControl w:val="off"/>
        <w:rPr>
          <w:highlight w:val="white"/>
        </w:rPr>
      </w:pPr>
      <w:r>
        <w:rPr>
          <w:highlight w:val="white"/>
        </w:rPr>
        <w:t xml:space="preserve">1.1</w:t>
      </w:r>
      <w:r>
        <w:rPr>
          <w:highlight w:val="white"/>
        </w:rPr>
        <w:tab/>
        <w:t xml:space="preserve">Ознакомлен с Антикоррупционной политикой </w:t>
      </w:r>
      <w:r>
        <w:rPr>
          <w:highlight w:val="white"/>
        </w:rPr>
        <w:t xml:space="preserve">АО «Россети Сибирь Тываэнерго», утвержденной решением Совета директоров АО «Россети Сибирь Тываэнерго» (протокол Совета директоров от 25.08.2023 № 47/23) </w:t>
      </w:r>
      <w:r>
        <w:rPr>
          <w:highlight w:val="white"/>
        </w:rPr>
        <w:t xml:space="preserve">(далее - Антикоррупционная политика).</w:t>
      </w:r>
      <w:r>
        <w:rPr>
          <w:highlight w:val="white"/>
        </w:rPr>
      </w:r>
      <w:r>
        <w:rPr>
          <w:highlight w:val="white"/>
        </w:rPr>
      </w:r>
    </w:p>
    <w:p>
      <w:pPr>
        <w:numPr>
          <w:ilvl w:val="1"/>
          <w:numId w:val="25"/>
        </w:numPr>
        <w:contextualSpacing/>
        <w:ind w:left="0" w:firstLine="709"/>
        <w:jc w:val="both"/>
        <w:widowControl w:val="off"/>
      </w:pPr>
      <w:r>
        <w:rPr>
          <w:highlight w:val="white"/>
        </w:rPr>
        <w:t xml:space="preserve">Согласен с принимаемыми в ПАО «Россети Сибирь» мерами, направ</w:t>
      </w:r>
      <w:r>
        <w:rPr>
          <w:highlight w:val="white"/>
        </w:rPr>
        <w:t xml:space="preserve">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</w:t>
      </w:r>
      <w:r>
        <w:t xml:space="preserve">е, ко</w:t>
      </w:r>
      <w:r>
        <w:t xml:space="preserve">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</w:t>
      </w:r>
      <w:r>
        <w:t xml:space="preserve">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о государственной регистрации юридического лица или физического лица в ка</w:t>
      </w:r>
      <w:r>
        <w:t xml:space="preserve">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(отбора) предложений, справка о кадровых ресурсах, информацию о налич</w:t>
      </w:r>
      <w:r>
        <w:t xml:space="preserve">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  <w:r/>
    </w:p>
    <w:p>
      <w:pPr>
        <w:numPr>
          <w:ilvl w:val="0"/>
          <w:numId w:val="21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Участник, а также его аффилированные лиц</w:t>
      </w:r>
      <w:r>
        <w:rPr>
          <w:color w:val="000000"/>
        </w:rPr>
        <w:t xml:space="preserve">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>
        <w:rPr>
          <w:bCs/>
          <w:color w:val="000000"/>
        </w:rPr>
        <w:t xml:space="preserve">Запрещённые действия</w:t>
      </w:r>
      <w:r>
        <w:rPr>
          <w:color w:val="000000"/>
        </w:rPr>
        <w:t xml:space="preserve">»).</w:t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2.1. К Запрещ</w:t>
      </w:r>
      <w:r>
        <w:rPr>
          <w:bCs/>
          <w:color w:val="000000"/>
        </w:rPr>
        <w:t xml:space="preserve">ё</w:t>
      </w:r>
      <w:r>
        <w:rPr>
          <w:color w:val="000000"/>
        </w:rPr>
        <w:t xml:space="preserve">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4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4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2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2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оказание, предложение или обещание оказать услуги;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2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2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предоставление, предложение или обещание предоставить иные выгоды; 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2"/>
        </w:numPr>
        <w:ind w:left="0" w:firstLine="709"/>
        <w:jc w:val="both"/>
      </w:pPr>
      <w:r>
        <w:t xml:space="preserve">действия, квалифицируемые российским законодательством как дача или получение взятки, коммерческий подкуп, незаконное</w:t>
      </w:r>
      <w:r>
        <w:t xml:space="preserve">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/>
    </w:p>
    <w:p>
      <w:pPr>
        <w:numPr>
          <w:ilvl w:val="1"/>
          <w:numId w:val="23"/>
        </w:numPr>
        <w:ind w:left="0" w:firstLine="709"/>
        <w:jc w:val="both"/>
      </w:pPr>
      <w:r>
        <w:rPr>
          <w:lang w:val="en-US"/>
        </w:rPr>
        <w:t xml:space="preserve">C</w:t>
      </w:r>
      <w:r>
        <w:t xml:space="preserve">тимулирование каким-либо образом работников Заказчика/Организатора закупки, в том числе путем предоставления денежных сумм, </w:t>
      </w:r>
      <w: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/>
    </w:p>
    <w:p>
      <w:pPr>
        <w:numPr>
          <w:ilvl w:val="1"/>
          <w:numId w:val="23"/>
        </w:numPr>
        <w:ind w:left="0" w:firstLine="709"/>
        <w:jc w:val="both"/>
      </w:pPr>
      <w:r>
        <w:t xml:space="preserve">Под действиями работника Заказчика/Организатора закупки, осуществляемыми в пользу Участника, понимаются:</w:t>
      </w:r>
      <w:r/>
    </w:p>
    <w:p>
      <w:pPr>
        <w:numPr>
          <w:ilvl w:val="0"/>
          <w:numId w:val="22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2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предоставление каких-либо гарантий;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2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ускорение существующих процедур;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2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3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3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3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ind w:firstLine="709"/>
        <w:rPr>
          <w:color w:val="000000"/>
        </w:rPr>
      </w:pPr>
      <w:r>
        <w:rPr>
          <w:b/>
          <w:bCs/>
          <w:color w:val="000000"/>
        </w:rPr>
        <w:t xml:space="preserve">Участник: </w:t>
      </w:r>
      <w:r>
        <w:rPr>
          <w:color w:val="000000"/>
        </w:rPr>
        <w:t xml:space="preserve">_______________/</w:t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</w:r>
      <w:r>
        <w:rPr>
          <w:b/>
          <w:bCs/>
          <w:i/>
          <w:iCs/>
          <w:color w:val="000000"/>
        </w:rPr>
      </w:r>
      <w:r>
        <w:rPr>
          <w:b/>
          <w:bCs/>
          <w:i/>
          <w:iCs/>
          <w:color w:val="000000"/>
        </w:rPr>
      </w:r>
    </w:p>
    <w:p>
      <w:pPr>
        <w:ind w:firstLine="709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</w:r>
      <w:r>
        <w:rPr>
          <w:b/>
          <w:bCs/>
          <w:i/>
          <w:iCs/>
          <w:color w:val="000000"/>
        </w:rPr>
      </w:r>
      <w:r>
        <w:rPr>
          <w:b/>
          <w:bCs/>
          <w:i/>
          <w:iCs/>
          <w:color w:val="000000"/>
        </w:rPr>
      </w:r>
    </w:p>
    <w:p>
      <w:pPr>
        <w:ind w:firstLine="709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</w:p>
    <w:p>
      <w:pPr>
        <w:ind w:firstLine="709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</w:p>
    <w:p>
      <w:pPr>
        <w:ind w:firstLine="709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</w:p>
    <w:p>
      <w:pPr>
        <w:ind w:firstLine="709"/>
        <w:jc w:val="both"/>
        <w:rPr>
          <w:b/>
          <w:i/>
          <w:color w:val="000000"/>
        </w:rPr>
      </w:pPr>
      <w:r>
        <w:rPr>
          <w:b/>
          <w:bCs/>
          <w:i/>
          <w:iCs/>
          <w:color w:val="000000"/>
        </w:rPr>
        <w:t xml:space="preserve">Информация о формах обратной связи ПАО «Россети Сибирь» в рамках системы предупреждения и профилактики коррупции:</w:t>
      </w:r>
      <w:r>
        <w:rPr>
          <w:b/>
          <w:i/>
          <w:color w:val="000000"/>
        </w:rPr>
      </w:r>
      <w:r>
        <w:rPr>
          <w:b/>
          <w:i/>
          <w:color w:val="000000"/>
        </w:rPr>
      </w:r>
    </w:p>
    <w:p>
      <w:pPr>
        <w:ind w:firstLine="709"/>
        <w:jc w:val="both"/>
        <w:rPr>
          <w:i/>
          <w:color w:val="2f2c2d"/>
          <w:shd w:val="clear" w:color="auto" w:fill="ffffff"/>
        </w:rPr>
      </w:pPr>
      <w:r>
        <w:rPr>
          <w:i/>
        </w:rPr>
        <w:t xml:space="preserve">В ПАО «Россети Сибирь» действует система </w:t>
      </w:r>
      <w:r>
        <w:rPr>
          <w:bCs/>
          <w:i/>
          <w:iCs/>
        </w:rPr>
        <w:t xml:space="preserve">предупреждения и профилактики коррупции.</w:t>
      </w:r>
      <w:r>
        <w:rPr>
          <w:i/>
        </w:rPr>
        <w:t xml:space="preserve"> </w:t>
      </w:r>
      <w:r>
        <w:rPr>
          <w:i/>
          <w:color w:val="2f2c2d"/>
          <w:shd w:val="clear" w:color="auto" w:fill="ffffff"/>
        </w:rPr>
        <w:t xml:space="preserve">Информацию о возможных фактах коррупции в ПАО «Россети Сибирь», а также дочерних зависимых обществах и их филиалах можно сообщить, заполнив </w:t>
      </w:r>
      <w:hyperlink r:id="rId22" w:tooltip="https://www.mrsk-sib.ru/index.php?option=com_content&amp;view=category&amp;layout=blog&amp;id=2863&amp;Itemid=4101&amp;lang=ru40" w:history="1">
        <w:r>
          <w:rPr>
            <w:i/>
            <w:color w:val="262626"/>
            <w:u w:val="single"/>
            <w:shd w:val="clear" w:color="auto" w:fill="ffffff"/>
          </w:rPr>
          <w:t xml:space="preserve">форму обратной связи</w:t>
        </w:r>
      </w:hyperlink>
      <w:r>
        <w:rPr>
          <w:i/>
        </w:rPr>
        <w:t xml:space="preserve"> на корпоративном веб-сайте</w:t>
      </w:r>
      <w:r>
        <w:rPr>
          <w:i/>
          <w:color w:val="2f2c2d"/>
          <w:shd w:val="clear" w:color="auto" w:fill="ffffff"/>
        </w:rPr>
        <w:t xml:space="preserve">, позвонив по телефону «Горячей линии» </w:t>
      </w:r>
      <w:r>
        <w:rPr>
          <w:bCs/>
          <w:i/>
          <w:color w:val="2f2c2d"/>
          <w:shd w:val="clear" w:color="auto" w:fill="ffffff"/>
        </w:rPr>
        <w:t xml:space="preserve">+7 391 274 41 11</w:t>
      </w:r>
      <w:r>
        <w:rPr>
          <w:i/>
          <w:color w:val="2f2c2d"/>
          <w:shd w:val="clear" w:color="auto" w:fill="ffffff"/>
        </w:rPr>
        <w:t xml:space="preserve">, или направив письменное обращение по адресу: 660021, г. Красноярск, ул. Бограда, 144а, ПАО «Россети Сибирь».</w:t>
      </w:r>
      <w:r>
        <w:rPr>
          <w:i/>
          <w:color w:val="2f2c2d"/>
          <w:shd w:val="clear" w:color="auto" w:fill="ffffff"/>
        </w:rPr>
      </w:r>
      <w:r>
        <w:rPr>
          <w:i/>
          <w:color w:val="2f2c2d"/>
          <w:shd w:val="clear" w:color="auto" w:fill="ffffff"/>
        </w:rPr>
      </w:r>
    </w:p>
    <w:p>
      <w:r/>
      <w:bookmarkEnd w:id="38"/>
      <w:r/>
      <w:r/>
    </w:p>
    <w:p>
      <w:pPr>
        <w:rPr>
          <w:i/>
          <w:sz w:val="22"/>
          <w:szCs w:val="22"/>
        </w:rPr>
      </w:pPr>
      <w:r>
        <w:rPr>
          <w:i/>
          <w:sz w:val="22"/>
          <w:szCs w:val="22"/>
        </w:rPr>
      </w:r>
      <w:r>
        <w:rPr>
          <w:i/>
          <w:sz w:val="22"/>
          <w:szCs w:val="22"/>
        </w:rPr>
      </w:r>
      <w:r>
        <w:rPr>
          <w:i/>
          <w:sz w:val="22"/>
          <w:szCs w:val="22"/>
        </w:rPr>
      </w:r>
    </w:p>
    <w:p>
      <w:pPr>
        <w:ind w:firstLine="709"/>
        <w:jc w:val="center"/>
        <w:spacing w:before="120"/>
        <w:rPr>
          <w:b/>
          <w:caps/>
        </w:rPr>
      </w:pPr>
      <w:r>
        <w:rPr>
          <w:i/>
          <w:sz w:val="22"/>
          <w:szCs w:val="22"/>
        </w:rPr>
        <w:br w:type="page" w:clear="all"/>
      </w:r>
      <w:bookmarkStart w:id="39" w:name="_Toc307936265"/>
      <w:r/>
      <w:bookmarkStart w:id="40" w:name="_Toc255987075"/>
      <w:r/>
      <w:bookmarkStart w:id="41" w:name="_Toc298234713"/>
      <w:r/>
      <w:bookmarkStart w:id="42" w:name="_Toc536483699"/>
      <w:r>
        <w:rPr>
          <w:b/>
        </w:rPr>
        <w:t xml:space="preserve">ФОРМА 6</w:t>
      </w:r>
      <w:r>
        <w:rPr>
          <w:b/>
          <w:caps/>
        </w:rPr>
        <w:t xml:space="preserve">. </w:t>
      </w:r>
      <w:bookmarkEnd w:id="39"/>
      <w:r/>
      <w:bookmarkEnd w:id="40"/>
      <w:r/>
      <w:bookmarkEnd w:id="41"/>
      <w:r>
        <w:rPr>
          <w:b/>
          <w:caps/>
        </w:rPr>
        <w:t xml:space="preserve">Справка о наличии конфликта интересов и/или связей, носящих характер аффилированности с работниками Заказчика/Организатора закупки</w:t>
      </w:r>
      <w:bookmarkEnd w:id="42"/>
      <w:r>
        <w:rPr>
          <w:b/>
          <w:caps/>
        </w:rPr>
      </w:r>
      <w:r>
        <w:rPr>
          <w:b/>
          <w:caps/>
        </w:rPr>
      </w:r>
    </w:p>
    <w:p>
      <w:pPr>
        <w:widowControl w:val="off"/>
      </w:pPr>
      <w:r/>
      <w:r/>
    </w:p>
    <w:p>
      <w:pPr>
        <w:jc w:val="center"/>
        <w:rPr>
          <w:b/>
        </w:rPr>
      </w:pPr>
      <w:r>
        <w:rPr>
          <w:b/>
        </w:rPr>
        <w:t xml:space="preserve">Справка о наличии конфликта интересов и/или связей, носящих характер аффилированности с сотрудниками Заказчика/Организатора закупки 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ПАО «Россети» и/или ДЗО ПАО «Россети»</w:t>
      </w:r>
      <w:r>
        <w:rPr>
          <w:b/>
        </w:rPr>
      </w:r>
      <w:r>
        <w:rPr>
          <w:b/>
        </w:rPr>
      </w:r>
    </w:p>
    <w:p>
      <w:pPr>
        <w:ind w:firstLine="567"/>
      </w:pPr>
      <w:r/>
      <w:r/>
    </w:p>
    <w:p>
      <w:pPr>
        <w:ind w:firstLine="567"/>
        <w:jc w:val="center"/>
      </w:pPr>
      <w:r>
        <w:t xml:space="preserve">Уважаемые господа!</w:t>
      </w:r>
      <w:r/>
    </w:p>
    <w:p>
      <w:pPr>
        <w:ind w:firstLine="567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ind w:firstLine="567"/>
        <w:jc w:val="both"/>
        <w:rPr>
          <w:b/>
          <w:i/>
        </w:rPr>
      </w:pPr>
      <w:r>
        <w:t xml:space="preserve">При рассмотрении нашей заявки просим учесть следующие сведения о наличии у _______________________________________</w:t>
      </w:r>
      <w:r>
        <w:rPr>
          <w:b/>
          <w:i/>
        </w:rPr>
        <w:t xml:space="preserve">(указывается полное наименование Участника закупки)</w:t>
      </w:r>
      <w:r>
        <w:rPr>
          <w:i/>
        </w:rPr>
        <w:t xml:space="preserve"> </w:t>
      </w:r>
      <w:r>
        <w:t xml:space="preserve">конфликта интересов и/или связей, </w:t>
      </w:r>
      <w:r>
        <w:rPr>
          <w:b/>
          <w:i/>
        </w:rPr>
        <w:t xml:space="preserve">носящих характер аффилированности с лицом, являющимся ______________________</w:t>
      </w:r>
      <w:r>
        <w:rPr>
          <w:rFonts w:ascii="Calibri" w:hAnsi="Calibri"/>
          <w:bCs/>
          <w:i/>
          <w:iCs/>
        </w:rPr>
        <w:t xml:space="preserve"> (</w:t>
      </w:r>
      <w:r>
        <w:rPr>
          <w:b/>
          <w:bCs/>
          <w:i/>
          <w:iCs/>
        </w:rPr>
        <w:t xml:space="preserve">указывается кем являются эти лица, пример: учредители, сотрудники, и т.д.</w:t>
      </w:r>
      <w:r>
        <w:rPr>
          <w:b/>
          <w:i/>
        </w:rPr>
        <w:t xml:space="preserve">) </w:t>
      </w:r>
      <w:r>
        <w:t xml:space="preserve">Заказчика </w:t>
      </w:r>
      <w:r>
        <w:rPr>
          <w:b/>
          <w:i/>
        </w:rPr>
        <w:t xml:space="preserve">и/или Организатора закупки</w:t>
      </w:r>
      <w:r>
        <w:t xml:space="preserve">, а именно - </w:t>
      </w:r>
      <w:r>
        <w:rPr>
          <w:b/>
          <w:i/>
        </w:rPr>
        <w:t xml:space="preserve">Указывается Ф.И.О. лица, его место работы, должность; кратко описывается, почему связи между данным лицом и Участником закупки могут быть расценены как конфликт интересов и/или аффилированность)</w:t>
      </w:r>
      <w:r>
        <w:rPr>
          <w:b/>
          <w:i/>
        </w:rPr>
      </w:r>
      <w:r>
        <w:rPr>
          <w:b/>
          <w:i/>
        </w:rPr>
      </w:r>
    </w:p>
    <w:p>
      <w:pPr>
        <w:ind w:firstLine="567"/>
      </w:pPr>
      <w:r/>
      <w:r/>
    </w:p>
    <w:p>
      <w:pPr>
        <w:ind w:firstLine="567"/>
      </w:pPr>
      <w:r>
        <w:t xml:space="preserve">____________________________________</w:t>
      </w:r>
      <w:r/>
    </w:p>
    <w:p>
      <w:pPr>
        <w:ind w:right="3684" w:firstLine="567"/>
        <w:jc w:val="center"/>
        <w:rPr>
          <w:vertAlign w:val="superscript"/>
        </w:rPr>
      </w:pPr>
      <w:r>
        <w:rPr>
          <w:vertAlign w:val="superscript"/>
        </w:rPr>
        <w:t xml:space="preserve">(подпись, М.П.)</w:t>
      </w:r>
      <w:r>
        <w:rPr>
          <w:vertAlign w:val="superscript"/>
        </w:rPr>
      </w:r>
      <w:r>
        <w:rPr>
          <w:vertAlign w:val="superscript"/>
        </w:rPr>
      </w:r>
    </w:p>
    <w:p>
      <w:pPr>
        <w:ind w:firstLine="567"/>
      </w:pPr>
      <w:r>
        <w:t xml:space="preserve">____________________________________</w:t>
      </w:r>
      <w:r/>
    </w:p>
    <w:p>
      <w:pPr>
        <w:ind w:firstLine="567"/>
        <w:rPr>
          <w:vertAlign w:val="superscript"/>
        </w:rPr>
      </w:pPr>
      <w:r>
        <w:rPr>
          <w:vertAlign w:val="superscript"/>
        </w:rPr>
        <w:t xml:space="preserve">(фамилия, имя, отчество подписавшего, должность)</w:t>
      </w:r>
      <w:r>
        <w:rPr>
          <w:vertAlign w:val="superscript"/>
        </w:rPr>
      </w:r>
      <w:r>
        <w:rPr>
          <w:vertAlign w:val="superscript"/>
        </w:rPr>
      </w:r>
    </w:p>
    <w:p>
      <w:pPr>
        <w:jc w:val="center"/>
        <w:keepNext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tabs>
          <w:tab w:val="left" w:pos="1080" w:leader="none"/>
        </w:tabs>
        <w:rPr>
          <w:rFonts w:eastAsia="Calibri"/>
          <w:b/>
          <w:sz w:val="20"/>
          <w:szCs w:val="20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  <w:t xml:space="preserve">Инструкции по заполнению</w:t>
      </w:r>
      <w:r>
        <w:rPr>
          <w:rFonts w:eastAsia="Calibri"/>
          <w:b/>
          <w:sz w:val="20"/>
          <w:szCs w:val="20"/>
          <w:lang w:eastAsia="en-US"/>
        </w:rPr>
      </w:r>
      <w:r>
        <w:rPr>
          <w:rFonts w:eastAsia="Calibri"/>
          <w:b/>
          <w:sz w:val="20"/>
          <w:szCs w:val="20"/>
          <w:lang w:eastAsia="en-US"/>
        </w:rPr>
      </w:r>
    </w:p>
    <w:p>
      <w:pPr>
        <w:numPr>
          <w:ilvl w:val="0"/>
          <w:numId w:val="27"/>
        </w:numPr>
        <w:contextualSpacing/>
        <w:ind w:left="340" w:right="113"/>
        <w:jc w:val="both"/>
        <w:spacing w:after="200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Участник закупки - юридическое лицо - должен указать свое полное наименование с указанием организационно-правовой формы), адрес место </w:t>
      </w:r>
      <w:r>
        <w:rPr>
          <w:rFonts w:eastAsia="Calibri"/>
          <w:sz w:val="18"/>
          <w:szCs w:val="18"/>
          <w:lang w:eastAsia="en-US"/>
        </w:rPr>
        <w:t xml:space="preserve">нахождения и номер регистрации в ЕГРЮЛ. Участник закупки-физическое лицо, в том числе,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 и ИНН).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numPr>
          <w:ilvl w:val="0"/>
          <w:numId w:val="27"/>
        </w:numPr>
        <w:contextualSpacing/>
        <w:ind w:left="340" w:right="113"/>
        <w:jc w:val="both"/>
        <w:spacing w:after="200"/>
        <w:widowControl w:val="off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Участники закупки должен заполнить данную Справку, указав всех лиц, в отношение</w:t>
      </w:r>
      <w:r>
        <w:rPr>
          <w:rFonts w:eastAsia="Calibri"/>
          <w:sz w:val="18"/>
          <w:szCs w:val="18"/>
          <w:lang w:eastAsia="en-US"/>
        </w:rPr>
        <w:t xml:space="preserve"> которых, по его мнению, может возникнуть конфликт интересов и связей, которые могут быть признаны аффилированными с ним. В случае если, по мнению Участника закупки таких лиц нет, то в Справке указывается фраза «При рассмотрении нашей заявки просим учесть,</w:t>
      </w:r>
      <w:r>
        <w:rPr>
          <w:rFonts w:eastAsia="Calibri"/>
          <w:sz w:val="18"/>
          <w:szCs w:val="18"/>
          <w:lang w:eastAsia="en-US"/>
        </w:rPr>
        <w:t xml:space="preserve"> что у (указывается наименование участника закупки) НЕТ лиц, в отношение которых, по его мнению, может возникнуть конфликт интересов и связей, которые могут быть признаны аффилированными с лицами так или иначе связанными с Заказчиком/Организатором закупки.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numPr>
          <w:ilvl w:val="0"/>
          <w:numId w:val="27"/>
        </w:numPr>
        <w:contextualSpacing/>
        <w:ind w:left="340" w:right="113"/>
        <w:jc w:val="both"/>
        <w:spacing w:after="200"/>
        <w:widowControl w:val="off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При заполнении данной Справки Участник закупки должен учесть, что сокрытие любой информации о лицах, в отношение которых может возникнуть конфликт интересов и/или связей, </w:t>
      </w:r>
      <w:r>
        <w:rPr>
          <w:rFonts w:eastAsia="Calibri"/>
          <w:sz w:val="18"/>
          <w:szCs w:val="18"/>
          <w:lang w:eastAsia="en-US"/>
        </w:rPr>
        <w:t xml:space="preserve">которые могут быть признаны аффилированными с любыми лицами так или иначе связанными с Заказчиком/Организатором закупки, может быть признано закупочной комиссией существенным нарушением условий данной закупки, и повлечь отклонение заявки такого Участника. 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numPr>
          <w:ilvl w:val="0"/>
          <w:numId w:val="27"/>
        </w:numPr>
        <w:contextualSpacing/>
        <w:ind w:left="340" w:right="113"/>
        <w:jc w:val="both"/>
        <w:spacing w:after="200"/>
        <w:widowControl w:val="off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При на</w:t>
      </w:r>
      <w:r>
        <w:rPr>
          <w:rFonts w:eastAsia="Calibri"/>
          <w:sz w:val="18"/>
          <w:szCs w:val="18"/>
          <w:lang w:eastAsia="en-US"/>
        </w:rPr>
        <w:t xml:space="preserve">личии документов, подтверждающих или указывающих на факты возможного возникновения конфликта интересов и/или аффилированных связей, Участник прилагает соответствующие документы к настоящей Справке и включает перечень прилагаемых документов в текст Справки.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ind w:firstLine="709"/>
        <w:spacing w:before="120"/>
        <w:widowControl w:val="off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widowControl w:val="off"/>
      </w:pPr>
      <w:r/>
      <w:bookmarkStart w:id="43" w:name="_Toc127334290"/>
      <w:r/>
      <w:bookmarkEnd w:id="43"/>
      <w:r/>
      <w:r/>
    </w:p>
    <w:p>
      <w:pPr>
        <w:pStyle w:val="1123"/>
        <w:jc w:val="center"/>
        <w:keepNext w:val="0"/>
        <w:spacing w:after="0"/>
        <w:widowControl w:val="off"/>
        <w:rPr>
          <w:bCs/>
          <w:sz w:val="24"/>
          <w:szCs w:val="24"/>
          <w:lang w:val="ru-RU" w:eastAsia="ru-RU"/>
        </w:rPr>
      </w:pPr>
      <w:r>
        <w:br w:type="page" w:clear="all"/>
      </w:r>
      <w:r>
        <w:rPr>
          <w:bCs/>
          <w:sz w:val="24"/>
          <w:szCs w:val="24"/>
          <w:lang w:val="ru-RU" w:eastAsia="ru-RU"/>
        </w:rPr>
      </w:r>
      <w:r>
        <w:rPr>
          <w:bCs/>
          <w:sz w:val="24"/>
          <w:szCs w:val="24"/>
          <w:lang w:val="ru-RU" w:eastAsia="ru-RU"/>
        </w:rPr>
      </w:r>
    </w:p>
    <w:p>
      <w:p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123"/>
        <w:ind w:left="567"/>
        <w:jc w:val="center"/>
        <w:pageBreakBefore/>
        <w:spacing w:after="0"/>
        <w:rPr>
          <w:caps/>
          <w:sz w:val="24"/>
          <w:szCs w:val="24"/>
        </w:rPr>
      </w:pPr>
      <w:r/>
      <w:bookmarkStart w:id="54" w:name="_Toc536483702"/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  <w:lang w:val="ru-RU"/>
        </w:rPr>
        <w:t xml:space="preserve">7</w:t>
      </w:r>
      <w:r>
        <w:rPr>
          <w:caps/>
          <w:sz w:val="24"/>
          <w:szCs w:val="24"/>
        </w:rPr>
        <w:t xml:space="preserve">. Справка о цепочке собственников участника закупки, включая бенефициаров (в том числе конечных)</w:t>
      </w:r>
      <w:bookmarkEnd w:id="54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r/>
      <w:r/>
    </w:p>
    <w:p>
      <w:pPr>
        <w:rPr>
          <w:color w:val="000000"/>
        </w:rPr>
      </w:pPr>
      <w:r>
        <w:rPr>
          <w:color w:val="000000"/>
        </w:rPr>
        <w:t xml:space="preserve">Наименование и адрес Участника (контрагента): _______________________________________________________________________</w:t>
      </w:r>
      <w:r>
        <w:rPr>
          <w:color w:val="000000"/>
        </w:rPr>
      </w:r>
      <w:r>
        <w:rPr>
          <w:color w:val="000000"/>
        </w:rPr>
      </w:r>
    </w:p>
    <w:p>
      <w:pPr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</w:r>
      <w:r>
        <w:rPr>
          <w:color w:val="000000"/>
          <w:sz w:val="16"/>
          <w:szCs w:val="16"/>
        </w:rPr>
      </w:r>
      <w:r>
        <w:rPr>
          <w:color w:val="000000"/>
          <w:sz w:val="16"/>
          <w:szCs w:val="16"/>
        </w:rPr>
      </w:r>
    </w:p>
    <w:tbl>
      <w:tblPr>
        <w:tblW w:w="1529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80" w:firstRow="0" w:lastRow="0" w:firstColumn="1" w:lastColumn="0" w:noHBand="0" w:noVBand="1"/>
      </w:tblPr>
      <w:tblGrid>
        <w:gridCol w:w="362"/>
        <w:gridCol w:w="739"/>
        <w:gridCol w:w="708"/>
        <w:gridCol w:w="709"/>
        <w:gridCol w:w="945"/>
        <w:gridCol w:w="1199"/>
        <w:gridCol w:w="992"/>
        <w:gridCol w:w="945"/>
        <w:gridCol w:w="957"/>
        <w:gridCol w:w="1172"/>
        <w:gridCol w:w="1134"/>
        <w:gridCol w:w="708"/>
        <w:gridCol w:w="1036"/>
        <w:gridCol w:w="1374"/>
        <w:gridCol w:w="1362"/>
        <w:gridCol w:w="948"/>
      </w:tblGrid>
      <w:tr>
        <w:tblPrEx/>
        <w:trPr>
          <w:trHeight w:val="147"/>
        </w:trPr>
        <w:tc>
          <w:tcPr>
            <w:gridSpan w:val="16"/>
            <w:tcW w:w="1529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20"/>
                <w:szCs w:val="22"/>
                <w:lang w:eastAsia="en-US"/>
              </w:rPr>
              <w:outlineLvl w:val="0"/>
            </w:pPr>
            <w:r/>
            <w:bookmarkStart w:id="55" w:name="_Toc476225313"/>
            <w:r/>
            <w:bookmarkStart w:id="56" w:name="_Toc485198248"/>
            <w:r/>
            <w:bookmarkStart w:id="57" w:name="_Toc536483703"/>
            <w:r/>
            <w:bookmarkStart w:id="58" w:name="_Toc404866843"/>
            <w:r>
              <w:rPr>
                <w:rFonts w:eastAsia="Calibri"/>
                <w:sz w:val="20"/>
                <w:szCs w:val="22"/>
                <w:lang w:eastAsia="en-US"/>
              </w:rPr>
              <w:t xml:space="preserve">Данные о контрагенте</w:t>
            </w:r>
            <w:bookmarkEnd w:id="55"/>
            <w:r/>
            <w:bookmarkEnd w:id="56"/>
            <w:r/>
            <w:bookmarkEnd w:id="57"/>
            <w:r>
              <w:rPr>
                <w:rFonts w:eastAsia="Calibri"/>
                <w:sz w:val="20"/>
                <w:szCs w:val="22"/>
                <w:lang w:eastAsia="en-US"/>
              </w:rPr>
            </w:r>
            <w:r>
              <w:rPr>
                <w:rFonts w:eastAsia="Calibri"/>
                <w:sz w:val="20"/>
                <w:szCs w:val="22"/>
                <w:lang w:eastAsia="en-US"/>
              </w:rPr>
            </w:r>
          </w:p>
        </w:tc>
      </w:tr>
      <w:tr>
        <w:tblPrEx/>
        <w:trPr>
          <w:trHeight w:val="1039"/>
        </w:trPr>
        <w:tc>
          <w:tcPr>
            <w:tcW w:w="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59" w:name="_Toc476225314"/>
            <w:r/>
            <w:bookmarkStart w:id="60" w:name="_Toc485198249"/>
            <w:r/>
            <w:bookmarkStart w:id="61" w:name="_Toc536483704"/>
            <w:r>
              <w:rPr>
                <w:rFonts w:eastAsia="Calibri"/>
                <w:sz w:val="18"/>
                <w:szCs w:val="18"/>
                <w:lang w:eastAsia="en-US"/>
              </w:rPr>
              <w:t xml:space="preserve">№</w:t>
            </w:r>
            <w:bookmarkEnd w:id="58"/>
            <w:r/>
            <w:bookmarkEnd w:id="59"/>
            <w:r/>
            <w:bookmarkEnd w:id="6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3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62" w:name="_Toc476225315"/>
            <w:r/>
            <w:bookmarkStart w:id="63" w:name="_Toc485198250"/>
            <w:r/>
            <w:bookmarkStart w:id="64" w:name="_Toc536483705"/>
            <w:r>
              <w:rPr>
                <w:rFonts w:eastAsia="Calibri"/>
                <w:sz w:val="18"/>
                <w:szCs w:val="18"/>
                <w:lang w:eastAsia="en-US"/>
              </w:rPr>
              <w:t xml:space="preserve">Вид контрагента</w:t>
            </w:r>
            <w:bookmarkEnd w:id="61"/>
            <w:r/>
            <w:bookmarkEnd w:id="62"/>
            <w:r/>
            <w:bookmarkEnd w:id="63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65" w:name="_Toc476225316"/>
            <w:r/>
            <w:bookmarkStart w:id="66" w:name="_Toc485198251"/>
            <w:r/>
            <w:bookmarkStart w:id="67" w:name="_Toc536483706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контрагента</w:t>
            </w:r>
            <w:bookmarkEnd w:id="64"/>
            <w:r/>
            <w:bookmarkEnd w:id="65"/>
            <w:r/>
            <w:bookmarkEnd w:id="6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68" w:name="_Toc476225317"/>
            <w:r/>
            <w:bookmarkStart w:id="69" w:name="_Toc485198252"/>
            <w:r/>
            <w:bookmarkStart w:id="70" w:name="_Toc536483707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публичности</w:t>
            </w:r>
            <w:bookmarkEnd w:id="67"/>
            <w:r/>
            <w:bookmarkEnd w:id="68"/>
            <w:r/>
            <w:bookmarkEnd w:id="6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71" w:name="_Toc476225318"/>
            <w:r/>
            <w:bookmarkStart w:id="72" w:name="_Toc485198253"/>
            <w:r/>
            <w:bookmarkStart w:id="73" w:name="_Toc536483708"/>
            <w:r>
              <w:rPr>
                <w:rFonts w:eastAsia="Calibri"/>
                <w:sz w:val="18"/>
                <w:szCs w:val="18"/>
                <w:lang w:eastAsia="en-US"/>
              </w:rPr>
              <w:t xml:space="preserve">ИНН контрагента</w:t>
            </w:r>
            <w:bookmarkEnd w:id="70"/>
            <w:r/>
            <w:bookmarkEnd w:id="71"/>
            <w:r/>
            <w:bookmarkEnd w:id="7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9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74" w:name="_Toc476225319"/>
            <w:r/>
            <w:bookmarkStart w:id="75" w:name="_Toc485198254"/>
            <w:r/>
            <w:bookmarkStart w:id="76" w:name="_Toc536483709"/>
            <w:r>
              <w:rPr>
                <w:rFonts w:eastAsia="Calibri"/>
                <w:sz w:val="18"/>
                <w:szCs w:val="18"/>
                <w:lang w:eastAsia="en-US"/>
              </w:rPr>
              <w:t xml:space="preserve">Регистрационный номер контрагента</w:t>
            </w:r>
            <w:bookmarkEnd w:id="73"/>
            <w:r/>
            <w:bookmarkEnd w:id="74"/>
            <w:r/>
            <w:bookmarkEnd w:id="75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77" w:name="_Toc476225320"/>
            <w:r/>
            <w:bookmarkStart w:id="78" w:name="_Toc485198255"/>
            <w:r/>
            <w:bookmarkStart w:id="79" w:name="_Toc536483710"/>
            <w:r>
              <w:rPr>
                <w:rFonts w:eastAsia="Calibri"/>
                <w:sz w:val="18"/>
                <w:szCs w:val="18"/>
                <w:lang w:eastAsia="en-US"/>
              </w:rPr>
              <w:t xml:space="preserve">Контрагент является филиалом</w:t>
            </w:r>
            <w:bookmarkEnd w:id="76"/>
            <w:r/>
            <w:bookmarkEnd w:id="77"/>
            <w:r/>
            <w:bookmarkEnd w:id="78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80" w:name="_Toc476225321"/>
            <w:r/>
            <w:bookmarkStart w:id="81" w:name="_Toc485198256"/>
            <w:r/>
            <w:bookmarkStart w:id="82" w:name="_Toc536483711"/>
            <w:r>
              <w:rPr>
                <w:rFonts w:eastAsia="Calibri"/>
                <w:sz w:val="18"/>
                <w:szCs w:val="18"/>
                <w:lang w:eastAsia="en-US"/>
              </w:rPr>
              <w:t xml:space="preserve">ОГРН/ ОГРНИП контрагента</w:t>
            </w:r>
            <w:bookmarkEnd w:id="79"/>
            <w:r/>
            <w:bookmarkEnd w:id="80"/>
            <w:r/>
            <w:bookmarkEnd w:id="8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57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83" w:name="_Toc476225322"/>
            <w:r/>
            <w:bookmarkStart w:id="84" w:name="_Toc485198257"/>
            <w:r/>
            <w:bookmarkStart w:id="85" w:name="_Toc536483712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регистрации контрагента</w:t>
            </w:r>
            <w:bookmarkEnd w:id="82"/>
            <w:r/>
            <w:bookmarkEnd w:id="83"/>
            <w:r/>
            <w:bookmarkEnd w:id="8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7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86" w:name="_Toc476225323"/>
            <w:r/>
            <w:bookmarkStart w:id="87" w:name="_Toc485198258"/>
            <w:r/>
            <w:bookmarkStart w:id="88" w:name="_Toc536483713"/>
            <w:r>
              <w:rPr>
                <w:rFonts w:eastAsia="Calibri"/>
                <w:sz w:val="18"/>
                <w:szCs w:val="18"/>
                <w:lang w:eastAsia="en-US"/>
              </w:rPr>
              <w:t xml:space="preserve">Организационно-правовая форма контрагента</w:t>
            </w:r>
            <w:bookmarkEnd w:id="85"/>
            <w:r/>
            <w:bookmarkEnd w:id="86"/>
            <w:r/>
            <w:bookmarkEnd w:id="8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89" w:name="_Toc476225324"/>
            <w:r/>
            <w:bookmarkStart w:id="90" w:name="_Toc485198259"/>
            <w:r/>
            <w:bookmarkStart w:id="91" w:name="_Toc536483714"/>
            <w:r>
              <w:rPr>
                <w:rFonts w:eastAsia="Calibri"/>
                <w:sz w:val="18"/>
                <w:szCs w:val="18"/>
                <w:lang w:eastAsia="en-US"/>
              </w:rPr>
              <w:t xml:space="preserve">Наименование контрагента</w:t>
            </w:r>
            <w:bookmarkEnd w:id="88"/>
            <w:r/>
            <w:bookmarkEnd w:id="89"/>
            <w:r/>
            <w:bookmarkEnd w:id="9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92" w:name="_Toc476225325"/>
            <w:r/>
            <w:bookmarkStart w:id="93" w:name="_Toc485198260"/>
            <w:r/>
            <w:bookmarkStart w:id="94" w:name="_Toc536483715"/>
            <w:r>
              <w:rPr>
                <w:rFonts w:eastAsia="Calibri"/>
                <w:sz w:val="18"/>
                <w:szCs w:val="18"/>
                <w:lang w:eastAsia="en-US"/>
              </w:rPr>
              <w:t xml:space="preserve">Код ОКВЭД</w:t>
            </w:r>
            <w:bookmarkEnd w:id="91"/>
            <w:r/>
            <w:bookmarkEnd w:id="92"/>
            <w:r/>
            <w:bookmarkEnd w:id="93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036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95" w:name="_Toc476225326"/>
            <w:r/>
            <w:bookmarkStart w:id="96" w:name="_Toc485198261"/>
            <w:r/>
            <w:bookmarkStart w:id="97" w:name="_Toc536483716"/>
            <w:r>
              <w:rPr>
                <w:rFonts w:eastAsia="Calibri"/>
                <w:sz w:val="18"/>
                <w:szCs w:val="18"/>
                <w:lang w:eastAsia="en-US"/>
              </w:rPr>
              <w:t xml:space="preserve">ФИО руководителя</w:t>
            </w:r>
            <w:bookmarkEnd w:id="94"/>
            <w:r/>
            <w:bookmarkEnd w:id="95"/>
            <w:r/>
            <w:bookmarkEnd w:id="9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37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98" w:name="_Toc476225327"/>
            <w:r/>
            <w:bookmarkStart w:id="99" w:name="_Toc485198262"/>
            <w:r/>
            <w:bookmarkStart w:id="100" w:name="_Toc536483717"/>
            <w:r>
              <w:rPr>
                <w:rFonts w:eastAsia="Calibri"/>
                <w:sz w:val="18"/>
                <w:szCs w:val="18"/>
                <w:lang w:eastAsia="en-US"/>
              </w:rPr>
              <w:t xml:space="preserve">Серия и номер документа, удостоверяющего личность руководителя</w:t>
            </w:r>
            <w:bookmarkEnd w:id="97"/>
            <w:r/>
            <w:bookmarkEnd w:id="98"/>
            <w:r/>
            <w:bookmarkEnd w:id="9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36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01" w:name="_Toc476225328"/>
            <w:r/>
            <w:bookmarkStart w:id="102" w:name="_Toc485198263"/>
            <w:r/>
            <w:bookmarkStart w:id="103" w:name="_Toc536483718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сайта, с раскрытием информации о цепочке собственников</w:t>
            </w:r>
            <w:bookmarkEnd w:id="100"/>
            <w:r/>
            <w:bookmarkEnd w:id="101"/>
            <w:r/>
            <w:bookmarkEnd w:id="10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04" w:name="_Toc476225329"/>
            <w:r/>
            <w:bookmarkStart w:id="105" w:name="_Toc485198264"/>
            <w:r/>
            <w:bookmarkStart w:id="106" w:name="_Toc536483719"/>
            <w:r>
              <w:rPr>
                <w:rFonts w:eastAsia="Calibri"/>
                <w:sz w:val="18"/>
                <w:szCs w:val="18"/>
                <w:lang w:eastAsia="en-US"/>
              </w:rPr>
              <w:t xml:space="preserve">Оффшорная зона</w:t>
            </w:r>
            <w:bookmarkEnd w:id="103"/>
            <w:r/>
            <w:bookmarkEnd w:id="104"/>
            <w:r/>
            <w:bookmarkEnd w:id="105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07"/>
        </w:trPr>
        <w:tc>
          <w:tcPr>
            <w:tcW w:w="362" w:type="dxa"/>
            <w:vAlign w:val="center"/>
            <w:textDirection w:val="lrTb"/>
            <w:noWrap w:val="false"/>
          </w:tcPr>
          <w:p>
            <w:pPr>
              <w:contextualSpacing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07" w:name="_Toc476225330"/>
            <w:r/>
            <w:bookmarkStart w:id="108" w:name="_Toc485198265"/>
            <w:r/>
            <w:bookmarkStart w:id="109" w:name="_Toc536483720"/>
            <w:r>
              <w:rPr>
                <w:rFonts w:eastAsia="Calibri"/>
                <w:sz w:val="18"/>
                <w:szCs w:val="18"/>
                <w:lang w:eastAsia="en-US"/>
              </w:rPr>
              <w:t xml:space="preserve">0</w:t>
            </w:r>
            <w:bookmarkEnd w:id="106"/>
            <w:r/>
            <w:bookmarkEnd w:id="107"/>
            <w:r/>
            <w:bookmarkEnd w:id="108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3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10" w:name="_Toc476225331"/>
            <w:r/>
            <w:bookmarkStart w:id="111" w:name="_Toc485198266"/>
            <w:r/>
            <w:bookmarkStart w:id="112" w:name="_Toc536483721"/>
            <w:r>
              <w:rPr>
                <w:rFonts w:eastAsia="Calibri"/>
                <w:sz w:val="18"/>
                <w:szCs w:val="18"/>
                <w:lang w:eastAsia="en-US"/>
              </w:rPr>
              <w:t xml:space="preserve">1</w:t>
            </w:r>
            <w:bookmarkEnd w:id="109"/>
            <w:r/>
            <w:bookmarkEnd w:id="110"/>
            <w:r/>
            <w:bookmarkEnd w:id="11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13" w:name="_Toc476225332"/>
            <w:r/>
            <w:bookmarkStart w:id="114" w:name="_Toc485198267"/>
            <w:r/>
            <w:bookmarkStart w:id="115" w:name="_Toc536483722"/>
            <w:r>
              <w:rPr>
                <w:rFonts w:eastAsia="Calibri"/>
                <w:sz w:val="18"/>
                <w:szCs w:val="18"/>
                <w:lang w:eastAsia="en-US"/>
              </w:rPr>
              <w:t xml:space="preserve">2</w:t>
            </w:r>
            <w:bookmarkEnd w:id="112"/>
            <w:r/>
            <w:bookmarkEnd w:id="113"/>
            <w:r/>
            <w:bookmarkEnd w:id="11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16" w:name="_Toc476225333"/>
            <w:r/>
            <w:bookmarkStart w:id="117" w:name="_Toc485198268"/>
            <w:r/>
            <w:bookmarkStart w:id="118" w:name="_Toc536483723"/>
            <w:r>
              <w:rPr>
                <w:rFonts w:eastAsia="Calibri"/>
                <w:sz w:val="18"/>
                <w:szCs w:val="18"/>
                <w:lang w:eastAsia="en-US"/>
              </w:rPr>
              <w:t xml:space="preserve">3</w:t>
            </w:r>
            <w:bookmarkEnd w:id="115"/>
            <w:r/>
            <w:bookmarkEnd w:id="116"/>
            <w:r/>
            <w:bookmarkEnd w:id="11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19" w:name="_Toc476225334"/>
            <w:r/>
            <w:bookmarkStart w:id="120" w:name="_Toc485198269"/>
            <w:r/>
            <w:bookmarkStart w:id="121" w:name="_Toc536483724"/>
            <w:r>
              <w:rPr>
                <w:rFonts w:eastAsia="Calibri"/>
                <w:sz w:val="18"/>
                <w:szCs w:val="18"/>
                <w:lang w:eastAsia="en-US"/>
              </w:rPr>
              <w:t xml:space="preserve">4</w:t>
            </w:r>
            <w:bookmarkEnd w:id="118"/>
            <w:r/>
            <w:bookmarkEnd w:id="119"/>
            <w:r/>
            <w:bookmarkEnd w:id="12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9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22" w:name="_Toc476225335"/>
            <w:r/>
            <w:bookmarkStart w:id="123" w:name="_Toc485198270"/>
            <w:r/>
            <w:bookmarkStart w:id="124" w:name="_Toc536483725"/>
            <w:r>
              <w:rPr>
                <w:rFonts w:eastAsia="Calibri"/>
                <w:sz w:val="18"/>
                <w:szCs w:val="18"/>
                <w:lang w:eastAsia="en-US"/>
              </w:rPr>
              <w:t xml:space="preserve">5</w:t>
            </w:r>
            <w:bookmarkEnd w:id="121"/>
            <w:r/>
            <w:bookmarkEnd w:id="122"/>
            <w:r/>
            <w:bookmarkEnd w:id="123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25" w:name="_Toc476225336"/>
            <w:r/>
            <w:bookmarkStart w:id="126" w:name="_Toc485198271"/>
            <w:r/>
            <w:bookmarkStart w:id="127" w:name="_Toc536483726"/>
            <w:r>
              <w:rPr>
                <w:rFonts w:eastAsia="Calibri"/>
                <w:sz w:val="18"/>
                <w:szCs w:val="18"/>
                <w:lang w:eastAsia="en-US"/>
              </w:rPr>
              <w:t xml:space="preserve">6</w:t>
            </w:r>
            <w:bookmarkEnd w:id="124"/>
            <w:r/>
            <w:bookmarkEnd w:id="125"/>
            <w:r/>
            <w:bookmarkEnd w:id="12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28" w:name="_Toc476225337"/>
            <w:r/>
            <w:bookmarkStart w:id="129" w:name="_Toc485198272"/>
            <w:r/>
            <w:bookmarkStart w:id="130" w:name="_Toc536483727"/>
            <w:r>
              <w:rPr>
                <w:rFonts w:eastAsia="Calibri"/>
                <w:sz w:val="18"/>
                <w:szCs w:val="18"/>
                <w:lang w:eastAsia="en-US"/>
              </w:rPr>
              <w:t xml:space="preserve">7</w:t>
            </w:r>
            <w:bookmarkEnd w:id="127"/>
            <w:r/>
            <w:bookmarkEnd w:id="128"/>
            <w:r/>
            <w:bookmarkEnd w:id="12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5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31" w:name="_Toc476225338"/>
            <w:r/>
            <w:bookmarkStart w:id="132" w:name="_Toc485198273"/>
            <w:r/>
            <w:bookmarkStart w:id="133" w:name="_Toc536483728"/>
            <w:r>
              <w:rPr>
                <w:rFonts w:eastAsia="Calibri"/>
                <w:sz w:val="18"/>
                <w:szCs w:val="18"/>
                <w:lang w:eastAsia="en-US"/>
              </w:rPr>
              <w:t xml:space="preserve">8</w:t>
            </w:r>
            <w:bookmarkEnd w:id="130"/>
            <w:r/>
            <w:bookmarkEnd w:id="131"/>
            <w:r/>
            <w:bookmarkEnd w:id="13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7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34" w:name="_Toc476225339"/>
            <w:r/>
            <w:bookmarkStart w:id="135" w:name="_Toc485198274"/>
            <w:r/>
            <w:bookmarkStart w:id="136" w:name="_Toc536483729"/>
            <w:r>
              <w:rPr>
                <w:rFonts w:eastAsia="Calibri"/>
                <w:sz w:val="18"/>
                <w:szCs w:val="18"/>
                <w:lang w:eastAsia="en-US"/>
              </w:rPr>
              <w:t xml:space="preserve">9</w:t>
            </w:r>
            <w:bookmarkEnd w:id="133"/>
            <w:r/>
            <w:bookmarkEnd w:id="134"/>
            <w:r/>
            <w:bookmarkEnd w:id="135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37" w:name="_Toc476225340"/>
            <w:r/>
            <w:bookmarkStart w:id="138" w:name="_Toc485198275"/>
            <w:r/>
            <w:bookmarkStart w:id="139" w:name="_Toc536483730"/>
            <w:r>
              <w:rPr>
                <w:rFonts w:eastAsia="Calibri"/>
                <w:sz w:val="18"/>
                <w:szCs w:val="18"/>
                <w:lang w:eastAsia="en-US"/>
              </w:rPr>
              <w:t xml:space="preserve">10</w:t>
            </w:r>
            <w:bookmarkEnd w:id="136"/>
            <w:r/>
            <w:bookmarkEnd w:id="137"/>
            <w:r/>
            <w:bookmarkEnd w:id="138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0" w:name="_Toc476225341"/>
            <w:r/>
            <w:bookmarkStart w:id="141" w:name="_Toc485198276"/>
            <w:r/>
            <w:bookmarkStart w:id="142" w:name="_Toc536483731"/>
            <w:r>
              <w:rPr>
                <w:rFonts w:eastAsia="Calibri"/>
                <w:sz w:val="18"/>
                <w:szCs w:val="18"/>
                <w:lang w:eastAsia="en-US"/>
              </w:rPr>
              <w:t xml:space="preserve">11</w:t>
            </w:r>
            <w:bookmarkEnd w:id="139"/>
            <w:r/>
            <w:bookmarkEnd w:id="140"/>
            <w:r/>
            <w:bookmarkEnd w:id="14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03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3" w:name="_Toc476225342"/>
            <w:r/>
            <w:bookmarkStart w:id="144" w:name="_Toc485198277"/>
            <w:r/>
            <w:bookmarkStart w:id="145" w:name="_Toc536483732"/>
            <w:r>
              <w:rPr>
                <w:rFonts w:eastAsia="Calibri"/>
                <w:sz w:val="18"/>
                <w:szCs w:val="18"/>
                <w:lang w:eastAsia="en-US"/>
              </w:rPr>
              <w:t xml:space="preserve">12</w:t>
            </w:r>
            <w:bookmarkEnd w:id="142"/>
            <w:r/>
            <w:bookmarkEnd w:id="143"/>
            <w:r/>
            <w:bookmarkEnd w:id="14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37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6" w:name="_Toc476225343"/>
            <w:r/>
            <w:bookmarkStart w:id="147" w:name="_Toc485198278"/>
            <w:r/>
            <w:bookmarkStart w:id="148" w:name="_Toc536483733"/>
            <w:r>
              <w:rPr>
                <w:rFonts w:eastAsia="Calibri"/>
                <w:sz w:val="18"/>
                <w:szCs w:val="18"/>
                <w:lang w:eastAsia="en-US"/>
              </w:rPr>
              <w:t xml:space="preserve">13</w:t>
            </w:r>
            <w:bookmarkEnd w:id="145"/>
            <w:r/>
            <w:bookmarkEnd w:id="146"/>
            <w:r/>
            <w:bookmarkEnd w:id="14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9" w:name="_Toc476225344"/>
            <w:r/>
            <w:bookmarkStart w:id="150" w:name="_Toc485198279"/>
            <w:r/>
            <w:bookmarkStart w:id="151" w:name="_Toc536483734"/>
            <w:r>
              <w:rPr>
                <w:rFonts w:eastAsia="Calibri"/>
                <w:sz w:val="18"/>
                <w:szCs w:val="18"/>
                <w:lang w:eastAsia="en-US"/>
              </w:rPr>
              <w:t xml:space="preserve">14</w:t>
            </w:r>
            <w:bookmarkEnd w:id="148"/>
            <w:r/>
            <w:bookmarkEnd w:id="149"/>
            <w:r/>
            <w:bookmarkEnd w:id="15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2" w:name="_Toc476225345"/>
            <w:r/>
            <w:bookmarkStart w:id="153" w:name="_Toc485198280"/>
            <w:r/>
            <w:bookmarkStart w:id="154" w:name="_Toc536483735"/>
            <w:r>
              <w:rPr>
                <w:rFonts w:eastAsia="Calibri"/>
                <w:sz w:val="18"/>
                <w:szCs w:val="18"/>
                <w:lang w:eastAsia="en-US"/>
              </w:rPr>
              <w:t xml:space="preserve">15</w:t>
            </w:r>
            <w:bookmarkEnd w:id="151"/>
            <w:r/>
            <w:bookmarkEnd w:id="152"/>
            <w:r/>
            <w:bookmarkEnd w:id="153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25"/>
        </w:trPr>
        <w:tc>
          <w:tcPr>
            <w:tcW w:w="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73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19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5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17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03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37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4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</w:tr>
    </w:tbl>
    <w:p>
      <w:pPr>
        <w:contextualSpacing/>
        <w:keepNext/>
        <w:rPr>
          <w:bCs/>
          <w:sz w:val="18"/>
          <w:szCs w:val="18"/>
          <w:lang w:eastAsia="en-US"/>
        </w:rPr>
        <w:outlineLvl w:val="0"/>
      </w:pP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</w:p>
    <w:p>
      <w:pPr>
        <w:contextualSpacing/>
        <w:keepNext/>
        <w:rPr>
          <w:bCs/>
          <w:sz w:val="18"/>
          <w:szCs w:val="18"/>
          <w:lang w:eastAsia="en-US"/>
        </w:rPr>
        <w:outlineLvl w:val="0"/>
      </w:pP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</w:p>
    <w:tbl>
      <w:tblPr>
        <w:tblW w:w="152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63"/>
        <w:gridCol w:w="738"/>
        <w:gridCol w:w="567"/>
        <w:gridCol w:w="708"/>
        <w:gridCol w:w="1134"/>
        <w:gridCol w:w="851"/>
        <w:gridCol w:w="1275"/>
        <w:gridCol w:w="1135"/>
        <w:gridCol w:w="1134"/>
        <w:gridCol w:w="1559"/>
        <w:gridCol w:w="993"/>
        <w:gridCol w:w="1275"/>
        <w:gridCol w:w="1276"/>
        <w:gridCol w:w="1502"/>
        <w:gridCol w:w="766"/>
      </w:tblGrid>
      <w:tr>
        <w:tblPrEx/>
        <w:trPr>
          <w:trHeight w:val="125"/>
        </w:trPr>
        <w:tc>
          <w:tcPr>
            <w:gridSpan w:val="15"/>
            <w:tcW w:w="15276" w:type="dxa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20"/>
                <w:szCs w:val="22"/>
                <w:lang w:eastAsia="en-US"/>
              </w:rPr>
              <w:outlineLvl w:val="0"/>
            </w:pPr>
            <w:r/>
            <w:bookmarkStart w:id="155" w:name="_Toc476225346"/>
            <w:r/>
            <w:bookmarkStart w:id="156" w:name="_Toc485198281"/>
            <w:r/>
            <w:bookmarkStart w:id="157" w:name="_Toc536483736"/>
            <w:r>
              <w:rPr>
                <w:rFonts w:eastAsia="Calibri"/>
                <w:sz w:val="20"/>
                <w:szCs w:val="22"/>
                <w:lang w:eastAsia="en-US"/>
              </w:rPr>
              <w:t xml:space="preserve">Данные о собственниках</w:t>
            </w:r>
            <w:bookmarkEnd w:id="154"/>
            <w:r/>
            <w:bookmarkEnd w:id="155"/>
            <w:r/>
            <w:bookmarkEnd w:id="156"/>
            <w:r>
              <w:rPr>
                <w:rFonts w:eastAsia="Calibri"/>
                <w:sz w:val="20"/>
                <w:szCs w:val="22"/>
                <w:lang w:eastAsia="en-US"/>
              </w:rPr>
            </w:r>
            <w:r>
              <w:rPr>
                <w:rFonts w:eastAsia="Calibri"/>
                <w:sz w:val="20"/>
                <w:szCs w:val="22"/>
                <w:lang w:eastAsia="en-US"/>
              </w:rPr>
            </w:r>
          </w:p>
        </w:tc>
      </w:tr>
      <w:tr>
        <w:tblPrEx/>
        <w:trPr>
          <w:trHeight w:val="1143"/>
        </w:trPr>
        <w:tc>
          <w:tcPr>
            <w:tcW w:w="36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8" w:name="_Toc476225347"/>
            <w:r/>
            <w:bookmarkStart w:id="159" w:name="_Toc485198282"/>
            <w:r/>
            <w:bookmarkStart w:id="160" w:name="_Toc536483737"/>
            <w:r>
              <w:rPr>
                <w:rFonts w:eastAsia="Calibri"/>
                <w:sz w:val="18"/>
                <w:szCs w:val="18"/>
                <w:lang w:eastAsia="en-US"/>
              </w:rPr>
              <w:t xml:space="preserve">№</w:t>
            </w:r>
            <w:bookmarkEnd w:id="157"/>
            <w:r/>
            <w:bookmarkEnd w:id="158"/>
            <w:r/>
            <w:bookmarkEnd w:id="15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3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1" w:name="_Toc476225348"/>
            <w:r/>
            <w:bookmarkStart w:id="162" w:name="_Toc485198283"/>
            <w:r/>
            <w:bookmarkStart w:id="163" w:name="_Toc536483738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 организации</w:t>
            </w:r>
            <w:bookmarkEnd w:id="160"/>
            <w:r/>
            <w:bookmarkEnd w:id="161"/>
            <w:r/>
            <w:bookmarkEnd w:id="16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4" w:name="_Toc476225349"/>
            <w:r/>
            <w:bookmarkStart w:id="165" w:name="_Toc485198284"/>
            <w:r/>
            <w:bookmarkStart w:id="166" w:name="_Toc536483739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публичности</w:t>
            </w:r>
            <w:bookmarkEnd w:id="163"/>
            <w:r/>
            <w:bookmarkEnd w:id="164"/>
            <w:r/>
            <w:bookmarkEnd w:id="165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7" w:name="_Toc476225350"/>
            <w:r/>
            <w:bookmarkStart w:id="168" w:name="_Toc485198285"/>
            <w:r/>
            <w:bookmarkStart w:id="169" w:name="_Toc536483740"/>
            <w:r>
              <w:rPr>
                <w:rFonts w:eastAsia="Calibri"/>
                <w:sz w:val="18"/>
                <w:szCs w:val="18"/>
                <w:lang w:eastAsia="en-US"/>
              </w:rPr>
              <w:t xml:space="preserve">ИНН собственника</w:t>
            </w:r>
            <w:bookmarkEnd w:id="166"/>
            <w:r/>
            <w:bookmarkEnd w:id="167"/>
            <w:r/>
            <w:bookmarkEnd w:id="168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0" w:name="_Toc476225351"/>
            <w:r/>
            <w:bookmarkStart w:id="171" w:name="_Toc485198286"/>
            <w:r/>
            <w:bookmarkStart w:id="172" w:name="_Toc536483741"/>
            <w:r>
              <w:rPr>
                <w:rFonts w:eastAsia="Calibri"/>
                <w:sz w:val="18"/>
                <w:szCs w:val="18"/>
                <w:lang w:eastAsia="en-US"/>
              </w:rPr>
              <w:t xml:space="preserve">Регистрационный номер собственника</w:t>
            </w:r>
            <w:bookmarkEnd w:id="169"/>
            <w:r/>
            <w:bookmarkEnd w:id="170"/>
            <w:r/>
            <w:bookmarkEnd w:id="17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3" w:name="_Toc476225352"/>
            <w:r/>
            <w:bookmarkStart w:id="174" w:name="_Toc485198287"/>
            <w:r/>
            <w:bookmarkStart w:id="175" w:name="_Toc536483742"/>
            <w:r>
              <w:rPr>
                <w:rFonts w:eastAsia="Calibri"/>
                <w:sz w:val="18"/>
                <w:szCs w:val="18"/>
                <w:lang w:eastAsia="en-US"/>
              </w:rPr>
              <w:t xml:space="preserve">ОГРН собственника</w:t>
            </w:r>
            <w:bookmarkEnd w:id="172"/>
            <w:r/>
            <w:bookmarkEnd w:id="173"/>
            <w:r/>
            <w:bookmarkEnd w:id="17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6" w:name="_Toc476225353"/>
            <w:r/>
            <w:bookmarkStart w:id="177" w:name="_Toc485198288"/>
            <w:r/>
            <w:bookmarkStart w:id="178" w:name="_Toc536483743"/>
            <w:r>
              <w:rPr>
                <w:rFonts w:eastAsia="Calibri"/>
                <w:sz w:val="18"/>
                <w:szCs w:val="18"/>
                <w:lang w:eastAsia="en-US"/>
              </w:rPr>
              <w:t xml:space="preserve">Организационно-правовая форма собственника</w:t>
            </w:r>
            <w:bookmarkEnd w:id="175"/>
            <w:r/>
            <w:bookmarkEnd w:id="176"/>
            <w:r/>
            <w:bookmarkEnd w:id="17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9" w:name="_Toc476225354"/>
            <w:r/>
            <w:bookmarkStart w:id="180" w:name="_Toc485198289"/>
            <w:r/>
            <w:bookmarkStart w:id="181" w:name="_Toc536483744"/>
            <w:r>
              <w:rPr>
                <w:rFonts w:eastAsia="Calibri"/>
                <w:sz w:val="18"/>
                <w:szCs w:val="18"/>
                <w:lang w:eastAsia="en-US"/>
              </w:rPr>
              <w:t xml:space="preserve">Наименование собственника</w:t>
            </w:r>
            <w:bookmarkEnd w:id="178"/>
            <w:r/>
            <w:bookmarkEnd w:id="179"/>
            <w:r/>
            <w:bookmarkEnd w:id="18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2" w:name="_Toc476225355"/>
            <w:r/>
            <w:bookmarkStart w:id="183" w:name="_Toc485198290"/>
            <w:r/>
            <w:bookmarkStart w:id="184" w:name="_Toc536483745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регистрации контрагента</w:t>
            </w:r>
            <w:bookmarkEnd w:id="181"/>
            <w:r/>
            <w:bookmarkEnd w:id="182"/>
            <w:r/>
            <w:bookmarkEnd w:id="183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5" w:name="_Toc476225356"/>
            <w:r/>
            <w:bookmarkStart w:id="186" w:name="_Toc485198291"/>
            <w:r/>
            <w:bookmarkStart w:id="187" w:name="_Toc536483746"/>
            <w:r>
              <w:rPr>
                <w:rFonts w:eastAsia="Calibri"/>
                <w:sz w:val="18"/>
                <w:szCs w:val="18"/>
                <w:lang w:eastAsia="en-US"/>
              </w:rPr>
              <w:t xml:space="preserve">Серия и номер документа, удостоверяющего личность (для физ. лиц)</w:t>
            </w:r>
            <w:bookmarkEnd w:id="184"/>
            <w:r/>
            <w:bookmarkEnd w:id="185"/>
            <w:r/>
            <w:bookmarkEnd w:id="18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8" w:name="_Toc476225357"/>
            <w:r/>
            <w:bookmarkStart w:id="189" w:name="_Toc485198292"/>
            <w:r/>
            <w:bookmarkStart w:id="190" w:name="_Toc536483747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собственника</w:t>
            </w:r>
            <w:bookmarkEnd w:id="187"/>
            <w:r/>
            <w:bookmarkEnd w:id="188"/>
            <w:r/>
            <w:bookmarkEnd w:id="18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1" w:name="_Toc476225358"/>
            <w:r/>
            <w:bookmarkStart w:id="192" w:name="_Toc485198293"/>
            <w:r/>
            <w:bookmarkStart w:id="193" w:name="_Toc536483748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сайта, с раскрытием информации о цепочке собственников</w:t>
            </w:r>
            <w:bookmarkEnd w:id="190"/>
            <w:r/>
            <w:bookmarkEnd w:id="191"/>
            <w:r/>
            <w:bookmarkEnd w:id="19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4" w:name="_Toc536483749"/>
            <w:r>
              <w:rPr>
                <w:rFonts w:eastAsia="Calibri"/>
                <w:sz w:val="18"/>
                <w:szCs w:val="18"/>
                <w:lang w:eastAsia="en-US"/>
              </w:rPr>
              <w:t xml:space="preserve">Размер доли (для участников/ акционеров/ бенефициаров)</w:t>
            </w:r>
            <w:bookmarkEnd w:id="193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50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5" w:name="_Toc476225359"/>
            <w:r/>
            <w:bookmarkStart w:id="196" w:name="_Toc485198294"/>
            <w:r/>
            <w:bookmarkStart w:id="197" w:name="_Toc536483750"/>
            <w:r>
              <w:rPr>
                <w:rFonts w:eastAsia="Calibri"/>
                <w:sz w:val="18"/>
                <w:szCs w:val="18"/>
                <w:lang w:eastAsia="en-US"/>
              </w:rPr>
              <w:t xml:space="preserve">Информация о подтверждающих документах (наименование, реквизиты и т.д.)</w:t>
            </w:r>
            <w:bookmarkEnd w:id="194"/>
            <w:r/>
            <w:bookmarkEnd w:id="195"/>
            <w:r/>
            <w:bookmarkEnd w:id="19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66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8" w:name="_Toc476225360"/>
            <w:r/>
            <w:bookmarkStart w:id="199" w:name="_Toc485198295"/>
            <w:r/>
            <w:bookmarkStart w:id="200" w:name="_Toc536483751"/>
            <w:r>
              <w:rPr>
                <w:rFonts w:eastAsia="Calibri"/>
                <w:sz w:val="18"/>
                <w:szCs w:val="18"/>
                <w:lang w:eastAsia="en-US"/>
              </w:rPr>
              <w:t xml:space="preserve">Оффшорная зона</w:t>
            </w:r>
            <w:bookmarkEnd w:id="197"/>
            <w:r/>
            <w:bookmarkEnd w:id="198"/>
            <w:r/>
            <w:bookmarkEnd w:id="19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169"/>
        </w:trPr>
        <w:tc>
          <w:tcPr>
            <w:tcW w:w="36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1" w:name="_Toc476225361"/>
            <w:r/>
            <w:bookmarkStart w:id="202" w:name="_Toc485198296"/>
            <w:r/>
            <w:bookmarkStart w:id="203" w:name="_Toc536483752"/>
            <w:r>
              <w:rPr>
                <w:rFonts w:eastAsia="Calibri"/>
                <w:sz w:val="18"/>
                <w:szCs w:val="18"/>
                <w:lang w:eastAsia="en-US"/>
              </w:rPr>
              <w:t xml:space="preserve">1</w:t>
            </w:r>
            <w:bookmarkEnd w:id="200"/>
            <w:r/>
            <w:bookmarkEnd w:id="201"/>
            <w:r/>
            <w:bookmarkEnd w:id="20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3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4" w:name="_Toc476225362"/>
            <w:r/>
            <w:bookmarkStart w:id="205" w:name="_Toc485198297"/>
            <w:r/>
            <w:bookmarkStart w:id="206" w:name="_Toc536483753"/>
            <w:r>
              <w:rPr>
                <w:rFonts w:eastAsia="Calibri"/>
                <w:sz w:val="18"/>
                <w:szCs w:val="18"/>
                <w:lang w:eastAsia="en-US"/>
              </w:rPr>
              <w:t xml:space="preserve">2</w:t>
            </w:r>
            <w:bookmarkEnd w:id="203"/>
            <w:r/>
            <w:bookmarkEnd w:id="204"/>
            <w:r/>
            <w:bookmarkEnd w:id="205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7" w:name="_Toc476225363"/>
            <w:r/>
            <w:bookmarkStart w:id="208" w:name="_Toc485198298"/>
            <w:r/>
            <w:bookmarkStart w:id="209" w:name="_Toc536483754"/>
            <w:r>
              <w:rPr>
                <w:rFonts w:eastAsia="Calibri"/>
                <w:sz w:val="18"/>
                <w:szCs w:val="18"/>
                <w:lang w:eastAsia="en-US"/>
              </w:rPr>
              <w:t xml:space="preserve">3</w:t>
            </w:r>
            <w:bookmarkEnd w:id="206"/>
            <w:r/>
            <w:bookmarkEnd w:id="207"/>
            <w:r/>
            <w:bookmarkEnd w:id="208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0" w:name="_Toc476225364"/>
            <w:r/>
            <w:bookmarkStart w:id="211" w:name="_Toc485198299"/>
            <w:r/>
            <w:bookmarkStart w:id="212" w:name="_Toc536483755"/>
            <w:r>
              <w:rPr>
                <w:rFonts w:eastAsia="Calibri"/>
                <w:sz w:val="18"/>
                <w:szCs w:val="18"/>
                <w:lang w:eastAsia="en-US"/>
              </w:rPr>
              <w:t xml:space="preserve">4</w:t>
            </w:r>
            <w:bookmarkEnd w:id="209"/>
            <w:r/>
            <w:bookmarkEnd w:id="210"/>
            <w:r/>
            <w:bookmarkEnd w:id="21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3" w:name="_Toc476225365"/>
            <w:r/>
            <w:bookmarkStart w:id="214" w:name="_Toc485198300"/>
            <w:r/>
            <w:bookmarkStart w:id="215" w:name="_Toc536483756"/>
            <w:r>
              <w:rPr>
                <w:rFonts w:eastAsia="Calibri"/>
                <w:sz w:val="18"/>
                <w:szCs w:val="18"/>
                <w:lang w:eastAsia="en-US"/>
              </w:rPr>
              <w:t xml:space="preserve">5</w:t>
            </w:r>
            <w:bookmarkEnd w:id="212"/>
            <w:r/>
            <w:bookmarkEnd w:id="213"/>
            <w:r/>
            <w:bookmarkEnd w:id="21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6" w:name="_Toc476225366"/>
            <w:r/>
            <w:bookmarkStart w:id="217" w:name="_Toc485198301"/>
            <w:r/>
            <w:bookmarkStart w:id="218" w:name="_Toc536483757"/>
            <w:r>
              <w:rPr>
                <w:rFonts w:eastAsia="Calibri"/>
                <w:sz w:val="18"/>
                <w:szCs w:val="18"/>
                <w:lang w:eastAsia="en-US"/>
              </w:rPr>
              <w:t xml:space="preserve">6</w:t>
            </w:r>
            <w:bookmarkEnd w:id="215"/>
            <w:r/>
            <w:bookmarkEnd w:id="216"/>
            <w:r/>
            <w:bookmarkEnd w:id="21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9" w:name="_Toc476225367"/>
            <w:r/>
            <w:bookmarkStart w:id="220" w:name="_Toc485198302"/>
            <w:r/>
            <w:bookmarkStart w:id="221" w:name="_Toc536483758"/>
            <w:r>
              <w:rPr>
                <w:rFonts w:eastAsia="Calibri"/>
                <w:sz w:val="18"/>
                <w:szCs w:val="18"/>
                <w:lang w:eastAsia="en-US"/>
              </w:rPr>
              <w:t xml:space="preserve">7</w:t>
            </w:r>
            <w:bookmarkEnd w:id="218"/>
            <w:r/>
            <w:bookmarkEnd w:id="219"/>
            <w:r/>
            <w:bookmarkEnd w:id="22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22" w:name="_Toc476225368"/>
            <w:r/>
            <w:bookmarkStart w:id="223" w:name="_Toc485198303"/>
            <w:r/>
            <w:bookmarkStart w:id="224" w:name="_Toc536483759"/>
            <w:r>
              <w:rPr>
                <w:rFonts w:eastAsia="Calibri"/>
                <w:sz w:val="18"/>
                <w:szCs w:val="18"/>
                <w:lang w:eastAsia="en-US"/>
              </w:rPr>
              <w:t xml:space="preserve">8</w:t>
            </w:r>
            <w:bookmarkEnd w:id="221"/>
            <w:r/>
            <w:bookmarkEnd w:id="222"/>
            <w:r/>
            <w:bookmarkEnd w:id="223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25" w:name="_Toc476225369"/>
            <w:r/>
            <w:bookmarkStart w:id="226" w:name="_Toc485198304"/>
            <w:r/>
            <w:bookmarkStart w:id="227" w:name="_Toc536483760"/>
            <w:r>
              <w:rPr>
                <w:rFonts w:eastAsia="Calibri"/>
                <w:sz w:val="18"/>
                <w:szCs w:val="18"/>
                <w:lang w:eastAsia="en-US"/>
              </w:rPr>
              <w:t xml:space="preserve">9</w:t>
            </w:r>
            <w:bookmarkEnd w:id="224"/>
            <w:r/>
            <w:bookmarkEnd w:id="225"/>
            <w:r/>
            <w:bookmarkEnd w:id="22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28" w:name="_Toc476225370"/>
            <w:r/>
            <w:bookmarkStart w:id="229" w:name="_Toc485198305"/>
            <w:r/>
            <w:bookmarkStart w:id="230" w:name="_Toc536483761"/>
            <w:r>
              <w:rPr>
                <w:rFonts w:eastAsia="Calibri"/>
                <w:sz w:val="18"/>
                <w:szCs w:val="18"/>
                <w:lang w:eastAsia="en-US"/>
              </w:rPr>
              <w:t xml:space="preserve">10</w:t>
            </w:r>
            <w:bookmarkEnd w:id="227"/>
            <w:r/>
            <w:bookmarkEnd w:id="228"/>
            <w:r/>
            <w:bookmarkEnd w:id="22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31" w:name="_Toc476225371"/>
            <w:r/>
            <w:bookmarkStart w:id="232" w:name="_Toc485198306"/>
            <w:r/>
            <w:bookmarkStart w:id="233" w:name="_Toc536483762"/>
            <w:r>
              <w:rPr>
                <w:rFonts w:eastAsia="Calibri"/>
                <w:sz w:val="18"/>
                <w:szCs w:val="18"/>
                <w:lang w:eastAsia="en-US"/>
              </w:rPr>
              <w:t xml:space="preserve">11</w:t>
            </w:r>
            <w:bookmarkEnd w:id="230"/>
            <w:r/>
            <w:bookmarkEnd w:id="231"/>
            <w:r/>
            <w:bookmarkEnd w:id="23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34" w:name="_Toc476225372"/>
            <w:r/>
            <w:bookmarkStart w:id="235" w:name="_Toc485198307"/>
            <w:r/>
            <w:bookmarkStart w:id="236" w:name="_Toc536483763"/>
            <w:r>
              <w:rPr>
                <w:rFonts w:eastAsia="Calibri"/>
                <w:sz w:val="18"/>
                <w:szCs w:val="18"/>
                <w:lang w:eastAsia="en-US"/>
              </w:rPr>
              <w:t xml:space="preserve">12</w:t>
            </w:r>
            <w:bookmarkEnd w:id="233"/>
            <w:r/>
            <w:bookmarkEnd w:id="234"/>
            <w:r/>
            <w:bookmarkEnd w:id="235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37" w:name="_Toc536483764"/>
            <w:r>
              <w:rPr>
                <w:rFonts w:eastAsia="Calibri"/>
                <w:sz w:val="18"/>
                <w:szCs w:val="18"/>
                <w:lang w:eastAsia="en-US"/>
              </w:rPr>
              <w:t xml:space="preserve">13</w:t>
            </w:r>
            <w:bookmarkEnd w:id="23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50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38" w:name="_Toc536483765"/>
            <w:r>
              <w:rPr>
                <w:rFonts w:eastAsia="Calibri"/>
                <w:sz w:val="18"/>
                <w:szCs w:val="18"/>
                <w:lang w:eastAsia="en-US"/>
              </w:rPr>
              <w:t xml:space="preserve">14</w:t>
            </w:r>
            <w:bookmarkEnd w:id="23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6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39" w:name="_Toc536483766"/>
            <w:r>
              <w:rPr>
                <w:rFonts w:eastAsia="Calibri"/>
                <w:sz w:val="18"/>
                <w:szCs w:val="18"/>
                <w:lang w:eastAsia="en-US"/>
              </w:rPr>
              <w:t xml:space="preserve">15</w:t>
            </w:r>
            <w:bookmarkEnd w:id="238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29"/>
        </w:trPr>
        <w:tc>
          <w:tcPr>
            <w:tcW w:w="363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738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135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502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766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</w:tr>
    </w:tbl>
    <w:p>
      <w:pPr>
        <w:rPr>
          <w:bCs/>
        </w:rPr>
      </w:pPr>
      <w:r>
        <w:rPr>
          <w:bCs/>
        </w:rPr>
        <w:t xml:space="preserve">_______________________________                               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  <w:sz w:val="20"/>
        </w:rPr>
      </w:pPr>
      <w:r>
        <w:rPr>
          <w:bCs/>
          <w:sz w:val="18"/>
        </w:rPr>
        <w:t xml:space="preserve">(Подпись уполномоченного представителя)</w:t>
      </w:r>
      <w:r>
        <w:rPr>
          <w:bCs/>
          <w:sz w:val="18"/>
        </w:rPr>
        <w:tab/>
      </w:r>
      <w:r>
        <w:rPr>
          <w:bCs/>
          <w:sz w:val="18"/>
        </w:rPr>
        <w:tab/>
      </w:r>
      <w:r>
        <w:rPr>
          <w:bCs/>
          <w:sz w:val="18"/>
        </w:rPr>
        <w:tab/>
      </w:r>
      <w:r>
        <w:rPr>
          <w:bCs/>
          <w:sz w:val="18"/>
        </w:rPr>
        <w:tab/>
        <w:t xml:space="preserve">(ФИО и должность подписавшего</w:t>
      </w:r>
      <w:r>
        <w:rPr>
          <w:bCs/>
          <w:sz w:val="20"/>
        </w:rPr>
        <w:t xml:space="preserve">)</w:t>
      </w:r>
      <w:r>
        <w:rPr>
          <w:bCs/>
          <w:sz w:val="20"/>
        </w:rPr>
      </w:r>
      <w:r>
        <w:rPr>
          <w:bCs/>
          <w:sz w:val="20"/>
        </w:rPr>
      </w:r>
    </w:p>
    <w:p>
      <w:pPr>
        <w:shd w:val="clear" w:color="auto" w:fill="ffffff"/>
        <w:rPr>
          <w:bCs/>
        </w:rPr>
      </w:pPr>
      <w:r>
        <w:rPr>
          <w:bCs/>
        </w:rPr>
        <w:tab/>
        <w:t xml:space="preserve">МП</w:t>
      </w:r>
      <w:r>
        <w:rPr>
          <w:bCs/>
        </w:rPr>
      </w:r>
      <w:r>
        <w:rPr>
          <w:bCs/>
        </w:rPr>
      </w:r>
    </w:p>
    <w:p>
      <w:pPr>
        <w:contextualSpacing/>
        <w:keepNext/>
        <w:rPr>
          <w:b/>
          <w:bCs/>
          <w:sz w:val="20"/>
          <w:lang w:eastAsia="en-US"/>
        </w:rPr>
        <w:outlineLvl w:val="0"/>
      </w:pPr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/>
      <w:bookmarkStart w:id="240" w:name="_Toc476225375"/>
      <w:r/>
      <w:bookmarkStart w:id="241" w:name="_Toc485198310"/>
      <w:r/>
      <w:bookmarkStart w:id="242" w:name="_Toc536483767"/>
      <w:r/>
      <w:bookmarkEnd w:id="239"/>
      <w:r>
        <w:rPr>
          <w:b/>
          <w:bCs/>
          <w:sz w:val="18"/>
          <w:szCs w:val="18"/>
          <w:lang w:eastAsia="en-US"/>
        </w:rPr>
        <w:t xml:space="preserve">Инструкция по заполнению:</w:t>
      </w:r>
      <w:bookmarkEnd w:id="240"/>
      <w:r/>
      <w:bookmarkEnd w:id="241"/>
      <w:r/>
      <w:bookmarkEnd w:id="242"/>
      <w:r>
        <w:rPr>
          <w:b/>
          <w:bCs/>
          <w:sz w:val="18"/>
          <w:szCs w:val="18"/>
          <w:lang w:eastAsia="en-US"/>
        </w:rPr>
      </w:r>
      <w:r>
        <w:rPr>
          <w:b/>
          <w:bCs/>
          <w:sz w:val="18"/>
          <w:szCs w:val="18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/>
      <w:bookmarkStart w:id="243" w:name="_Toc476225376"/>
      <w:r/>
      <w:bookmarkStart w:id="244" w:name="_Toc485198311"/>
      <w:r/>
      <w:bookmarkStart w:id="245" w:name="_Toc536483768"/>
      <w:r>
        <w:rPr>
          <w:rFonts w:eastAsia="Calibri" w:cs="Arial"/>
          <w:bCs/>
          <w:sz w:val="18"/>
          <w:szCs w:val="18"/>
          <w:lang w:eastAsia="en-US"/>
        </w:rPr>
        <w:t xml:space="preserve">Информация о собственниках контра</w:t>
      </w:r>
      <w:r>
        <w:rPr>
          <w:rFonts w:eastAsia="Calibri" w:cs="Arial"/>
          <w:bCs/>
          <w:sz w:val="18"/>
          <w:szCs w:val="18"/>
          <w:lang w:eastAsia="en-US"/>
        </w:rPr>
        <w:t xml:space="preserve">гента вносится в Excel файл (Приложение к настоящему извещению), обе вкладки которого распечатываются по форме настоящего приложения, заверяются печатью (при наличии печати) и подписью уполномоченного представителя Участника и после сканирования в формате </w:t>
      </w:r>
      <w:r>
        <w:rPr>
          <w:rFonts w:eastAsia="Calibri" w:cs="Arial"/>
          <w:bCs/>
          <w:sz w:val="18"/>
          <w:szCs w:val="18"/>
          <w:lang w:val="en-US" w:eastAsia="en-US"/>
        </w:rPr>
        <w:t xml:space="preserve">PDF</w:t>
      </w:r>
      <w:r>
        <w:rPr>
          <w:rFonts w:eastAsia="Calibri" w:cs="Arial"/>
          <w:bCs/>
          <w:sz w:val="18"/>
          <w:szCs w:val="18"/>
          <w:lang w:eastAsia="en-US"/>
        </w:rPr>
        <w:t xml:space="preserve">, вместе с Excel файлом прилагаются к заявке/предложению Участника на закупку.</w:t>
      </w:r>
      <w:bookmarkEnd w:id="243"/>
      <w:r/>
      <w:bookmarkEnd w:id="244"/>
      <w:r/>
      <w:bookmarkEnd w:id="245"/>
      <w:r>
        <w:rPr>
          <w:b/>
          <w:bCs/>
          <w:sz w:val="18"/>
          <w:szCs w:val="18"/>
          <w:lang w:eastAsia="en-US"/>
        </w:rPr>
      </w:r>
      <w:r>
        <w:rPr>
          <w:b/>
          <w:bCs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Обязательность заполнения тех или иных полей</w:t>
      </w:r>
      <w:r>
        <w:rPr>
          <w:rFonts w:ascii="Calibri" w:hAnsi="Calibri" w:eastAsia="Calibri"/>
          <w:sz w:val="18"/>
          <w:szCs w:val="18"/>
          <w:lang w:eastAsia="en-US"/>
        </w:rPr>
        <w:t xml:space="preserve"> </w:t>
      </w:r>
      <w:r>
        <w:rPr>
          <w:rFonts w:eastAsia="Calibri"/>
          <w:sz w:val="18"/>
          <w:szCs w:val="18"/>
          <w:lang w:eastAsia="en-US"/>
        </w:rPr>
        <w:t xml:space="preserve">Excel файла определяется правилами, описанными ниже в данном документе: 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Информация должна вноситься на листы «Данные контрагента», «Данные о собственниках»;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добавление дополнительных столбцов или удаление существующих, файл должен иметь структуру, указанную в шаблоне файла загрузки;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добавление или удаление листов из предоставленного файла;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объединение ячеек (если необходимо указать одно и то же значение в некоторой области ячеек, то данное значение должно быть указано в каждой из этих ячеек);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добавление пустых строк или столбцов в файл;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Файл </w:t>
      </w:r>
      <w:r>
        <w:rPr>
          <w:rFonts w:eastAsia="Calibri"/>
          <w:sz w:val="18"/>
          <w:szCs w:val="18"/>
          <w:lang w:val="en-US" w:eastAsia="en-US"/>
        </w:rPr>
        <w:t xml:space="preserve">Excel</w:t>
      </w:r>
      <w:r>
        <w:rPr>
          <w:rFonts w:eastAsia="Calibri"/>
          <w:sz w:val="18"/>
          <w:szCs w:val="18"/>
          <w:lang w:eastAsia="en-US"/>
        </w:rPr>
        <w:t xml:space="preserve"> для загрузки должен быть в формате .</w:t>
      </w:r>
      <w:r>
        <w:rPr>
          <w:rFonts w:eastAsia="Calibri"/>
          <w:sz w:val="18"/>
          <w:szCs w:val="18"/>
          <w:lang w:val="en-US" w:eastAsia="en-US"/>
        </w:rPr>
        <w:t xml:space="preserve">xls</w:t>
      </w:r>
      <w:r>
        <w:rPr>
          <w:rFonts w:eastAsia="Calibri"/>
          <w:sz w:val="18"/>
          <w:szCs w:val="18"/>
          <w:lang w:eastAsia="en-US"/>
        </w:rPr>
        <w:t xml:space="preserve"> или .</w:t>
      </w:r>
      <w:r>
        <w:rPr>
          <w:rFonts w:eastAsia="Calibri"/>
          <w:sz w:val="18"/>
          <w:szCs w:val="18"/>
          <w:lang w:val="en-US" w:eastAsia="en-US"/>
        </w:rPr>
        <w:t xml:space="preserve">xlsx</w:t>
      </w:r>
      <w:r>
        <w:rPr>
          <w:rFonts w:eastAsia="Calibri"/>
          <w:sz w:val="18"/>
          <w:szCs w:val="18"/>
          <w:lang w:eastAsia="en-US"/>
        </w:rPr>
        <w:t xml:space="preserve">, файлы в ином формате не допускаются;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Файл должен содержать только текстовую информацию, вставка любых других объектов (файлов, картинок) не допускается;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Значения в полях должны заполняться так, чтобы каждое из слов состояло из символов в одной раскладке клавиатуры; 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Цепочка собственников должна быть корректно раскрыта до конечных бенефициаров (см. раздел «Условие раскрытия информации до конечного бенефициара»);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b/>
          <w:sz w:val="18"/>
          <w:szCs w:val="18"/>
          <w:lang w:eastAsia="en-US"/>
        </w:rPr>
        <w:t xml:space="preserve">- </w:t>
      </w:r>
      <w:r>
        <w:rPr>
          <w:rFonts w:eastAsia="Calibri"/>
          <w:sz w:val="18"/>
          <w:szCs w:val="18"/>
          <w:lang w:eastAsia="en-US"/>
        </w:rPr>
        <w:t xml:space="preserve">Справочные поля (отмечены оранжевым цветом) должны заполняться только значениями из справочников/ Введение в справочное поле значения не из справочника не допускается;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b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Ячейки не могут содержать прочерков, фраз "нет", "не предоставлено", "информация запрошена" и т.п. </w:t>
      </w:r>
      <w:r>
        <w:rPr>
          <w:rFonts w:eastAsia="Calibri"/>
          <w:b/>
          <w:sz w:val="18"/>
          <w:szCs w:val="18"/>
          <w:lang w:eastAsia="en-US"/>
        </w:rPr>
      </w:r>
      <w:r>
        <w:rPr>
          <w:rFonts w:eastAsia="Calibri"/>
          <w:b/>
          <w:sz w:val="18"/>
          <w:szCs w:val="18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/>
      <w:bookmarkStart w:id="246" w:name="_Toc404866844"/>
      <w:r>
        <w:rPr>
          <w:b/>
          <w:bCs/>
          <w:sz w:val="18"/>
          <w:szCs w:val="18"/>
          <w:lang w:eastAsia="en-US"/>
        </w:rPr>
      </w:r>
      <w:r>
        <w:rPr>
          <w:b/>
          <w:bCs/>
          <w:sz w:val="18"/>
          <w:szCs w:val="18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/>
      <w:bookmarkStart w:id="247" w:name="_Toc476225377"/>
      <w:r/>
      <w:bookmarkStart w:id="248" w:name="_Toc485198312"/>
      <w:r/>
      <w:bookmarkStart w:id="249" w:name="_Toc536483769"/>
      <w:r>
        <w:rPr>
          <w:b/>
          <w:bCs/>
          <w:sz w:val="18"/>
          <w:szCs w:val="18"/>
          <w:lang w:eastAsia="en-US"/>
        </w:rPr>
        <w:t xml:space="preserve">Условия раскрытия информации до конечного бенефициара</w:t>
      </w:r>
      <w:bookmarkEnd w:id="246"/>
      <w:r/>
      <w:bookmarkEnd w:id="247"/>
      <w:r/>
      <w:bookmarkEnd w:id="248"/>
      <w:r/>
      <w:bookmarkEnd w:id="249"/>
      <w:r>
        <w:rPr>
          <w:b/>
          <w:bCs/>
          <w:sz w:val="18"/>
          <w:szCs w:val="18"/>
          <w:lang w:eastAsia="en-US"/>
        </w:rPr>
      </w:r>
      <w:r>
        <w:rPr>
          <w:b/>
          <w:bCs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По контрагенту должна быть раскрыта вся цепочка собственников. Цепочка собственников считается раскрытой, в случае если конечный собственник – </w:t>
      </w:r>
      <w:r>
        <w:rPr>
          <w:rFonts w:eastAsia="Calibri"/>
          <w:sz w:val="18"/>
          <w:szCs w:val="18"/>
          <w:lang w:eastAsia="en-US"/>
        </w:rPr>
        <w:t xml:space="preserve">физическое лицо. Указание лишь руководителя в качестве конечного бенефициара является недостаточным. Данные о собственниках необходимо раскрывать в требуемом объеме (должны быть заполнены обязательные поля, см. правила заполнения «Данные о собственниках»);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Допустимые случаи не раскрытия/неполного раскрытия информации о цепочке собственников контрагента: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1. </w:t>
      </w:r>
      <w:r>
        <w:rPr>
          <w:rFonts w:eastAsia="Calibri"/>
          <w:sz w:val="20"/>
          <w:lang w:eastAsia="en-US"/>
        </w:rPr>
        <w:t xml:space="preserve">При заключении договоров: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административно - хозяйственного назначения;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  <w:tab w:val="left" w:pos="8430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технологического присоединения;</w:t>
      </w:r>
      <w:r>
        <w:rPr>
          <w:rFonts w:eastAsia="Calibri"/>
          <w:sz w:val="20"/>
          <w:lang w:eastAsia="en-US"/>
        </w:rPr>
        <w:tab/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в соответствии с правилами оптового рынка электрической энергии и мощности;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в соответствии и с международными договорами РФ; 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федеральными органами государственной власти, органами государственной власти субъектов РФ, органами местного самоуправления;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расчеты по </w:t>
      </w:r>
      <w:r>
        <w:rPr>
          <w:rFonts w:eastAsia="Calibri"/>
          <w:sz w:val="20"/>
          <w:lang w:eastAsia="en-US"/>
        </w:rPr>
        <w:t xml:space="preserve">которым производятся по ценам и тарифам, определенным в порядке, установленном Правительством РФ или уполномоченным Правительством РФ федеральным органом исполнительной власти, органами исполнительной власти субъектов РФ, органами местного самоуправления; 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зарубежными публичными компаниями, акции которой допущены к обращению на фондовых рынках и/или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зарубежными компаниями, собственниками которой являются органы государственной власти этой страны;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публичными акционерными обществами, акции которых котируются на рынке ценных бумаг, либо с обществами с числом акционеров более 50.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2. Если собственниками являются (см. значения поля «Тип публичности» в листе «Данные о собственниках»):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«российский государственный орган власти; 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российское государственное или муниципальное унитарное предприятие;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российская государственная корпорация;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зарубежная публичная компаниями, акции которой допущены к обращению на фондовых рынках и/или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зарубежная компания, собственниками которой являются органы государственной власти этой страны;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 публичное акционерное общество, акции которого котируются на рынке ценных бумаг, либо с общество с числом акционеров более 50», 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то данные компании могут не раскрывать информацию о цепочке собственников.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Если компания подходит под условия возможности «нераскрытия» цепочки собственников, то либо собственники не должны быть указаны вовсе, либо цепочка должна быть раскрыта полностью до конечного бенефициара.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rPr>
          <w:rFonts w:eastAsia="Calibri"/>
          <w:sz w:val="20"/>
          <w:lang w:eastAsia="en-US"/>
        </w:rPr>
      </w:pPr>
      <w:r/>
      <w:bookmarkStart w:id="250" w:name="_Toc404866845"/>
      <w:r/>
      <w:bookmarkStart w:id="251" w:name="_Toc404852359"/>
      <w:r>
        <w:rPr>
          <w:rFonts w:eastAsia="Calibri"/>
          <w:sz w:val="20"/>
          <w:lang w:eastAsia="en-US"/>
        </w:rPr>
        <w:t xml:space="preserve">В таблице «Данные о собственниках» допускается указание данных о бенефициарах (в том числе конечных) и акционерах, владеющих более 5 процентами акций (либо прямая ссылк</w:t>
      </w:r>
      <w:r>
        <w:rPr>
          <w:rFonts w:eastAsia="Calibri"/>
          <w:sz w:val="20"/>
          <w:lang w:eastAsia="en-US"/>
        </w:rPr>
        <w:t xml:space="preserve">а на общедоступный источник, посредством которого в установленном законом порядке раскрыта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/>
      <w:bookmarkStart w:id="252" w:name="_Toc476225378"/>
      <w:r/>
      <w:bookmarkStart w:id="253" w:name="_Toc485198313"/>
      <w:r/>
      <w:bookmarkStart w:id="254" w:name="_Toc536483770"/>
      <w:r>
        <w:rPr>
          <w:b/>
          <w:bCs/>
          <w:sz w:val="20"/>
          <w:lang w:eastAsia="en-US"/>
        </w:rPr>
        <w:t xml:space="preserve">Правила заполнения листа «Данные контрагента».</w:t>
      </w:r>
      <w:bookmarkEnd w:id="250"/>
      <w:r/>
      <w:bookmarkEnd w:id="251"/>
      <w:r/>
      <w:bookmarkEnd w:id="252"/>
      <w:r/>
      <w:bookmarkEnd w:id="253"/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</w:p>
    <w:p>
      <w:pPr>
        <w:tabs>
          <w:tab w:val="left" w:pos="426" w:leader="none"/>
        </w:tabs>
        <w:rPr>
          <w:rFonts w:ascii="Calibri" w:hAnsi="Calibri" w:eastAsia="Calibri"/>
          <w:b/>
          <w:bCs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В указанном листе заполняется информация о контрагентах</w:t>
      </w:r>
      <w:bookmarkEnd w:id="254"/>
      <w:r>
        <w:rPr>
          <w:rFonts w:eastAsia="Calibri"/>
          <w:sz w:val="20"/>
          <w:lang w:eastAsia="en-US"/>
        </w:rPr>
        <w:t xml:space="preserve"> и субподрядчиках:</w:t>
      </w:r>
      <w:r>
        <w:rPr>
          <w:rFonts w:ascii="Calibri" w:hAnsi="Calibri" w:eastAsia="Calibri"/>
          <w:b/>
          <w:bCs/>
          <w:sz w:val="20"/>
          <w:lang w:eastAsia="en-US"/>
        </w:rPr>
      </w:r>
      <w:r>
        <w:rPr>
          <w:rFonts w:ascii="Calibri" w:hAnsi="Calibri" w:eastAsia="Calibri"/>
          <w:b/>
          <w:bCs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№ (Порядковы</w:t>
      </w:r>
      <w:r>
        <w:rPr>
          <w:rFonts w:eastAsia="Calibri"/>
          <w:sz w:val="20"/>
          <w:lang w:eastAsia="en-US"/>
        </w:rPr>
        <w:t xml:space="preserve">й номер контрагента в файле) – поле должно содержать только число порядкового номера контрагента, другие символы не допускаются. Порядковый номер определяет наличие информации о контрагенте в строке. Строгой проверки на очередность порядковых номеров нет. 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Вид контрагента - обязательное поле, заполняется значением из справочника "Вид организации". В листе может быть только один контрагент, но несколько субподрядчиков.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контрагента – обязательное поле, заполняется значением из справочника "Тип контрагента".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публичности – обязательное поле, заполняется значением из справочника "Тип публичности".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ИНН контрагента – в поле могут содержаться только цифры. Обязательное поле для юридических лиц, зарегистрированных на территории РФ (включая ИП). В одном файле не допускаются два или более повторяющихся ИНН.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Регистрационный номер контрагента – указывается для иностранных лиц, не зарегистрированных в РФ. Может содержать как буквы, так и цифры. Обязательное поле для юридических лиц, не зарегистрированных на территории РФ.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Конт</w:t>
      </w:r>
      <w:r>
        <w:rPr>
          <w:rFonts w:eastAsia="Calibri"/>
          <w:sz w:val="20"/>
          <w:lang w:eastAsia="en-US"/>
        </w:rPr>
        <w:t xml:space="preserve">рагент является филиалом – поле заполняется значением «Да» только для контрагентов являющихся филиалами, в остальных случаях оставляется пустым. Помеченные таким образом контрагенты, в случае совпадения их ИНН с ИНН другого контрагента не являются дублями.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ОГРН/ОГРНИП контрагента – в поле могут содержаться только цифры. Обязательное поле для юридических лиц и индивидуальных предпринимателей, зарегистрированных на территории РФ.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регистрации контрагента – поле заполняется автом</w:t>
      </w:r>
      <w:r>
        <w:rPr>
          <w:rFonts w:eastAsia="Calibri"/>
          <w:sz w:val="20"/>
          <w:lang w:eastAsia="en-US"/>
        </w:rPr>
        <w:t xml:space="preserve">атически, на основе предварительно заполненных полей: Страна, Регион, Район, Город, Район города, Населенный пункт, Улица, Дом, Корпус, Строение, Сооружение, Литер, Квартира, Индекс. Данные поля заполняются в соответствии с юридическим адресом контрагента.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Организационно-правовая форма – указывается полностью, без сокращений, заполняется из спр</w:t>
      </w:r>
      <w:r>
        <w:rPr>
          <w:rFonts w:eastAsia="Calibri"/>
          <w:sz w:val="20"/>
          <w:lang w:eastAsia="en-US"/>
        </w:rPr>
        <w:t xml:space="preserve">авочника "Организационно-правовые формы" (ОПФ), для иностранных организаций поле не заполняется. Если в справочнике отсутствует требуемая ОПФ, то ОПФ указывается в поле наименование. Если ОПФ выбрана в поле ОПФ, то наименование должно быть указано без ОПФ.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Наименование контрагента – указывается полностью. Поле обязательно для заполнения. 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Код ОКВЭД – обязательное поле для юридических лиц, зарегистрированных на территории РФ. Несколько кодов ОКВЭД указываются через точку с запятой ";". Каждый код вводится в следующих ниже форматах (где </w:t>
      </w:r>
      <w:r>
        <w:rPr>
          <w:rFonts w:eastAsia="Calibri"/>
          <w:sz w:val="20"/>
          <w:lang w:val="en-US" w:eastAsia="en-US"/>
        </w:rPr>
        <w:t xml:space="preserve">X</w:t>
      </w:r>
      <w:r>
        <w:rPr>
          <w:rFonts w:eastAsia="Calibri"/>
          <w:sz w:val="20"/>
          <w:lang w:eastAsia="en-US"/>
        </w:rPr>
        <w:t xml:space="preserve"> является числом), иное написание считается ошибкой: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9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9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9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9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9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ФИО руководителя – указывается для юридических лиц в полном виде, обязательное поле.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Серия и Номер паспорта руководителя – указывается для юридических лиц, обязательное поле.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сайта, с раскрытием информации о цепочке собственников – является обязательным для контрагентов с типом публичности "Публичное акционерное общество".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Оффшорная зона – поле обязательное для контрагентов с типом "Иностранная организация, зарегистрированная в оффшорной зоне". Поле заполняется из справочника "Страны".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/>
      <w:bookmarkStart w:id="255" w:name="_Toc404866846"/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/>
      <w:bookmarkStart w:id="256" w:name="_Toc476225379"/>
      <w:r/>
      <w:bookmarkStart w:id="257" w:name="_Toc485198314"/>
      <w:r/>
      <w:bookmarkStart w:id="258" w:name="_Toc536483771"/>
      <w:r>
        <w:rPr>
          <w:b/>
          <w:bCs/>
          <w:sz w:val="20"/>
          <w:lang w:eastAsia="en-US"/>
        </w:rPr>
        <w:t xml:space="preserve">Правила заполнения листа «Данные о собственниках»</w:t>
      </w:r>
      <w:bookmarkEnd w:id="255"/>
      <w:r/>
      <w:bookmarkEnd w:id="256"/>
      <w:r/>
      <w:bookmarkEnd w:id="257"/>
      <w:r/>
      <w:bookmarkEnd w:id="258"/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</w:p>
    <w:p>
      <w:pPr>
        <w:numPr>
          <w:ilvl w:val="0"/>
          <w:numId w:val="30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№ (Номер собственника в цепочке контрагента) – обязательное поле, определяет наличие информации о собственнике в строке. Поле заполняется в соответствии с местом собственника в структуре цепочки собственников. М</w:t>
      </w:r>
      <w:r>
        <w:rPr>
          <w:rFonts w:eastAsia="Calibri"/>
          <w:sz w:val="20"/>
          <w:lang w:eastAsia="en-US"/>
        </w:rPr>
        <w:t xml:space="preserve">ожет содержать только цифры и символ разделитель (разделителем выступает точка "."). Первый уровень собственников (собственники контрагента по договору) указывается как цифра без разделителя (например "1"), затем, при заполнении собственников второго уровн</w:t>
      </w:r>
      <w:r>
        <w:rPr>
          <w:rFonts w:eastAsia="Calibri"/>
          <w:sz w:val="20"/>
          <w:lang w:eastAsia="en-US"/>
        </w:rPr>
        <w:t xml:space="preserve">я (собственники организаций) номер указывается с разделителем (например: "1.1"), и далее – по аналогичной схеме до конечного бенефициарного собственника. Собственники третьего уровня будет иметь номер с двумя разделителями (например: "1.1.1" или "3.2.1"). 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Иной формат записи или неполная запись (например: "1.") не допускаются.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0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организации – обязательное поле, заполняется значением из справочника "Тип организации". Собственник не может быть индивидуальным предпринимателем, установка такого значения для данного поля не допускается.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0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публичности – обязательное поле, заполняется значением из справочника "Тип публичности".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0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ИНН собственника – в поле могут содержаться только цифры. Обязательное поле для юридических лиц, зарегистрированных на территории РФ.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0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Регистрационный номер собственника - может содержать как буквы, так и цифры. Обязательное поле для юридических лиц, не зарегистрированных на территории РФ.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0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ОГРН собственника – в поле могут содержаться только цифры. Обязательное поле для юридических лиц, зарегистрированных на территории РФ.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0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Организационно-правовая форма – указывается полностью, без сокращений, заполняетс</w:t>
      </w:r>
      <w:r>
        <w:rPr>
          <w:rFonts w:eastAsia="Calibri"/>
          <w:sz w:val="20"/>
          <w:lang w:eastAsia="en-US"/>
        </w:rPr>
        <w:t xml:space="preserve">я из справочника "Организационно-правовые формы", для иностранных организаций поле не заполняется. Если в справочнике отсутствует требуемая ОПФ, то ОПФ указывается в поле наименование. Если ОПФ выбран в поле ОПФ то наименование должно быть указано без ОПФ.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0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Наименование собственника – указывается полностью, без сокращений (Для иностранных организаций организационно-правовая форма указывается в наименовании). Обязательное поле.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0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регистрации собственника – обязательное поле для юридического лица.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0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Серия и номер документа, удостоверяющего личность (для физ. лиц) – поле заполняется только для физических лиц, для иностранных физических лиц поле не обязательно.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0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собственника – обязательное поле, заполняется значением из справочника "Тип собственников" " выбором одной из 4-х позиций: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руководитель;  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  <w:tab w:val="left" w:pos="2640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участник;</w:t>
      </w:r>
      <w:r>
        <w:rPr>
          <w:rFonts w:eastAsia="Calibri"/>
          <w:sz w:val="20"/>
          <w:lang w:eastAsia="en-US"/>
        </w:rPr>
        <w:tab/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акционер;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бенефициар.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В цепочке собственников по каждому юридическому лицу, помимо данных о собственниках, указывается информация о руководителе.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0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сайта, с раскрытием информации о цепочке собственников – является обязательным для собственников с типом публичности "Публичное акционерное общество".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0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Размер доли (для участников/ акционеров/ бенефициаров) – обязательное поле. Размер доли указывается в %.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0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Информация о подтверждающих документах (наименование, реквизиты и т.д.) – обязательное поле. Должно содержать наименование и реквизиты документа подтверждающего факт участия собственника в цепочке собственников.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0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Оффшорная зона – поле обязательное для собственников с типом "Иностранная организация, зарегистрированная в оффшорной зоне". Поле заполняется из справочника "Страны".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r/>
      <w:r/>
    </w:p>
    <w:p>
      <w:r/>
      <w:r/>
    </w:p>
    <w:p>
      <w:r/>
      <w:r/>
    </w:p>
    <w:p>
      <w:pPr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123"/>
        <w:ind w:left="567"/>
        <w:jc w:val="center"/>
        <w:pageBreakBefore/>
        <w:spacing w:after="0"/>
        <w:rPr>
          <w:caps/>
          <w:sz w:val="24"/>
          <w:szCs w:val="24"/>
        </w:rPr>
      </w:pPr>
      <w:r/>
      <w:bookmarkStart w:id="259" w:name="_Toc536483772"/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  <w:lang w:val="ru-RU"/>
        </w:rPr>
        <w:t xml:space="preserve">8</w:t>
      </w:r>
      <w:r>
        <w:rPr>
          <w:caps/>
          <w:sz w:val="24"/>
          <w:szCs w:val="24"/>
        </w:rPr>
        <w:t xml:space="preserve">. Согласие на обработку персональных данных</w:t>
      </w:r>
      <w:bookmarkEnd w:id="259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jc w:val="both"/>
      </w:pPr>
      <w:r/>
      <w:r/>
    </w:p>
    <w:p>
      <w:pPr>
        <w:ind w:firstLine="567"/>
        <w:jc w:val="center"/>
        <w:spacing w:after="60"/>
        <w:tabs>
          <w:tab w:val="left" w:pos="0" w:leader="none"/>
          <w:tab w:val="num" w:pos="1134" w:leader="none"/>
        </w:tabs>
        <w:rPr>
          <w:b/>
          <w:sz w:val="26"/>
          <w:szCs w:val="26"/>
        </w:rPr>
        <w:outlineLvl w:val="1"/>
      </w:pPr>
      <w:r/>
      <w:bookmarkStart w:id="260" w:name="_Toc536567239"/>
      <w:r/>
      <w:bookmarkStart w:id="261" w:name="_Toc5779098"/>
      <w:r/>
      <w:bookmarkStart w:id="262" w:name="_Toc34053067"/>
      <w:r>
        <w:rPr>
          <w:b/>
          <w:sz w:val="26"/>
          <w:szCs w:val="26"/>
        </w:rPr>
        <w:t xml:space="preserve">Согласие на обработку персональных данных</w:t>
      </w:r>
      <w:bookmarkEnd w:id="260"/>
      <w:r/>
      <w:bookmarkEnd w:id="261"/>
      <w:r/>
      <w:bookmarkEnd w:id="262"/>
      <w:r>
        <w:rPr>
          <w:b/>
          <w:sz w:val="26"/>
          <w:szCs w:val="26"/>
        </w:rPr>
        <w:t xml:space="preserve"> участника закупочной процедуры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567"/>
        <w:jc w:val="center"/>
        <w:spacing w:after="60"/>
        <w:tabs>
          <w:tab w:val="left" w:pos="0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 «_____» ____________ 20____ г.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567"/>
        <w:jc w:val="both"/>
        <w:spacing w:after="6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spacing w:after="60"/>
        <w:rPr>
          <w:sz w:val="26"/>
          <w:szCs w:val="26"/>
        </w:rPr>
      </w:pPr>
      <w:r>
        <w:rPr>
          <w:sz w:val="26"/>
          <w:szCs w:val="26"/>
        </w:rPr>
        <w:t xml:space="preserve">Настоящим, ________________________________________________________,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spacing w:after="6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(указывается полное наименование участника закупочной процедуры</w:t>
      </w:r>
      <w:r>
        <w:rPr>
          <w:b/>
          <w:i/>
          <w:sz w:val="22"/>
          <w:szCs w:val="22"/>
        </w:rPr>
      </w:r>
      <w:r>
        <w:rPr>
          <w:b/>
          <w:i/>
          <w:sz w:val="22"/>
          <w:szCs w:val="22"/>
        </w:rPr>
      </w:r>
    </w:p>
    <w:p>
      <w:pPr>
        <w:ind w:firstLine="567"/>
        <w:jc w:val="center"/>
        <w:spacing w:after="6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______________________________________________________________________________________</w:t>
      </w:r>
      <w:r>
        <w:rPr>
          <w:b/>
          <w:i/>
          <w:sz w:val="22"/>
          <w:szCs w:val="22"/>
        </w:rPr>
      </w:r>
      <w:r>
        <w:rPr>
          <w:b/>
          <w:i/>
          <w:sz w:val="22"/>
          <w:szCs w:val="22"/>
        </w:rPr>
      </w:r>
    </w:p>
    <w:p>
      <w:pPr>
        <w:ind w:firstLine="567"/>
        <w:jc w:val="center"/>
        <w:spacing w:after="60"/>
      </w:pPr>
      <w:r>
        <w:rPr>
          <w:b/>
          <w:i/>
          <w:sz w:val="22"/>
          <w:szCs w:val="22"/>
        </w:rPr>
        <w:t xml:space="preserve">(потенциального контрагента), контрагента)</w:t>
      </w:r>
      <w:r/>
    </w:p>
    <w:p>
      <w:pPr>
        <w:ind w:firstLine="709"/>
        <w:jc w:val="both"/>
        <w:spacing w:after="60"/>
      </w:pPr>
      <w:r>
        <w:t xml:space="preserve">Адрес регистрации: _______________________________________________________,</w:t>
      </w:r>
      <w:r/>
    </w:p>
    <w:p>
      <w:pPr>
        <w:ind w:left="708" w:firstLine="1"/>
        <w:jc w:val="both"/>
        <w:spacing w:after="60"/>
        <w:rPr>
          <w:b/>
          <w:i/>
          <w:sz w:val="22"/>
          <w:szCs w:val="22"/>
        </w:rPr>
      </w:pPr>
      <w:r>
        <w:t xml:space="preserve">Свидетельство о регистрации: ______________________________________________ </w:t>
      </w:r>
      <w:r>
        <w:rPr>
          <w:b/>
          <w:i/>
          <w:sz w:val="22"/>
          <w:szCs w:val="22"/>
        </w:rPr>
        <w:t xml:space="preserve">ИНН__________________________</w:t>
      </w:r>
      <w:r>
        <w:rPr>
          <w:b/>
          <w:i/>
          <w:sz w:val="22"/>
          <w:szCs w:val="22"/>
        </w:rPr>
      </w:r>
      <w:r>
        <w:rPr>
          <w:b/>
          <w:i/>
          <w:sz w:val="22"/>
          <w:szCs w:val="22"/>
        </w:rPr>
      </w:r>
    </w:p>
    <w:p>
      <w:pPr>
        <w:ind w:firstLine="709"/>
        <w:jc w:val="both"/>
        <w:spacing w:after="6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КПП__________________________</w:t>
      </w:r>
      <w:r>
        <w:rPr>
          <w:b/>
          <w:i/>
          <w:sz w:val="22"/>
          <w:szCs w:val="22"/>
        </w:rPr>
      </w:r>
      <w:r>
        <w:rPr>
          <w:b/>
          <w:i/>
          <w:sz w:val="22"/>
          <w:szCs w:val="22"/>
        </w:rPr>
      </w:r>
    </w:p>
    <w:p>
      <w:pPr>
        <w:ind w:firstLine="708"/>
        <w:jc w:val="both"/>
        <w:spacing w:after="60"/>
      </w:pPr>
      <w:r>
        <w:rPr>
          <w:b/>
          <w:i/>
          <w:sz w:val="22"/>
          <w:szCs w:val="22"/>
        </w:rPr>
        <w:t xml:space="preserve">ОГРН_________________________</w:t>
      </w:r>
      <w:r>
        <w:t xml:space="preserve">,</w:t>
      </w:r>
      <w:r/>
    </w:p>
    <w:p>
      <w:pPr>
        <w:ind w:firstLine="567"/>
        <w:jc w:val="both"/>
        <w:spacing w:after="60"/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в лице</w:t>
      </w:r>
      <w:r>
        <w:rPr>
          <w:b/>
          <w:i/>
          <w:sz w:val="26"/>
          <w:szCs w:val="26"/>
        </w:rPr>
        <w:t xml:space="preserve"> ___________________________________________________________________</w:t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ind w:firstLine="540"/>
        <w:jc w:val="center"/>
        <w:spacing w:after="60"/>
        <w:rPr>
          <w:b/>
          <w:bCs/>
          <w:i/>
          <w:iCs/>
          <w:sz w:val="22"/>
          <w:szCs w:val="22"/>
        </w:rPr>
      </w:pPr>
      <w:r>
        <w:rPr>
          <w:b/>
          <w:i/>
          <w:sz w:val="22"/>
          <w:szCs w:val="22"/>
        </w:rPr>
        <w:t xml:space="preserve">(указывается Ф.И.О.,</w:t>
      </w:r>
      <w:r>
        <w:rPr>
          <w:b/>
          <w:bCs/>
          <w:i/>
          <w:iCs/>
          <w:sz w:val="22"/>
          <w:szCs w:val="22"/>
        </w:rPr>
        <w:t xml:space="preserve"> адрес, номер основного документа, удостоверяющего его личность,</w:t>
      </w:r>
      <w:r>
        <w:rPr>
          <w:b/>
          <w:bCs/>
          <w:i/>
          <w:iCs/>
          <w:sz w:val="22"/>
          <w:szCs w:val="22"/>
        </w:rPr>
      </w:r>
      <w:r>
        <w:rPr>
          <w:b/>
          <w:bCs/>
          <w:i/>
          <w:iCs/>
          <w:sz w:val="22"/>
          <w:szCs w:val="22"/>
        </w:rPr>
      </w:r>
    </w:p>
    <w:p>
      <w:pPr>
        <w:ind w:firstLine="567"/>
        <w:jc w:val="both"/>
        <w:spacing w:after="60"/>
        <w:rPr>
          <w:sz w:val="20"/>
        </w:rPr>
      </w:pPr>
      <w:r>
        <w:rPr>
          <w:b/>
          <w:bCs/>
          <w:i/>
          <w:iCs/>
          <w:sz w:val="22"/>
          <w:szCs w:val="22"/>
        </w:rPr>
        <w:t xml:space="preserve">_____________________________________________________________________________________,</w:t>
      </w:r>
      <w:r>
        <w:rPr>
          <w:sz w:val="20"/>
        </w:rPr>
      </w:r>
      <w:r>
        <w:rPr>
          <w:sz w:val="20"/>
        </w:rPr>
      </w:r>
    </w:p>
    <w:p>
      <w:pPr>
        <w:ind w:firstLine="540"/>
        <w:jc w:val="center"/>
        <w:spacing w:after="6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сведения о дате выдачи указанного документа и выдавшем его органе)*</w:t>
      </w:r>
      <w:r>
        <w:rPr>
          <w:b/>
          <w:bCs/>
          <w:i/>
          <w:iCs/>
          <w:sz w:val="22"/>
          <w:szCs w:val="22"/>
        </w:rPr>
      </w:r>
      <w:r>
        <w:rPr>
          <w:b/>
          <w:bCs/>
          <w:i/>
          <w:iCs/>
          <w:sz w:val="22"/>
          <w:szCs w:val="22"/>
        </w:rPr>
      </w:r>
    </w:p>
    <w:p>
      <w:pPr>
        <w:ind w:firstLine="567"/>
        <w:jc w:val="both"/>
        <w:spacing w:after="60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действующего на основании _____________________________</w:t>
      </w:r>
      <w:r>
        <w:rPr>
          <w:i/>
          <w:sz w:val="26"/>
          <w:szCs w:val="26"/>
        </w:rPr>
        <w:t xml:space="preserve">, </w:t>
      </w:r>
      <w:r>
        <w:rPr>
          <w:sz w:val="26"/>
          <w:szCs w:val="26"/>
        </w:rPr>
        <w:t xml:space="preserve">дает свое согласие </w:t>
      </w:r>
      <w:r>
        <w:rPr>
          <w:b/>
          <w:sz w:val="26"/>
          <w:szCs w:val="26"/>
        </w:rPr>
        <w:t xml:space="preserve">ПАО «Россети Сибирь»</w:t>
      </w:r>
      <w:r>
        <w:rPr>
          <w:sz w:val="26"/>
          <w:szCs w:val="26"/>
        </w:rPr>
        <w:t xml:space="preserve">, зарегистрированному по адресу: г. Красноярск, ул. Бограда 144 А, </w:t>
      </w:r>
      <w:r>
        <w:rPr>
          <w:b/>
          <w:sz w:val="26"/>
          <w:szCs w:val="26"/>
        </w:rPr>
        <w:t xml:space="preserve">Обществу под управлением ПАО «Россети Сибирь»</w:t>
      </w:r>
      <w:r>
        <w:rPr>
          <w:b/>
          <w:i/>
          <w:sz w:val="26"/>
          <w:szCs w:val="26"/>
        </w:rPr>
        <w:t xml:space="preserve">,** </w:t>
      </w:r>
      <w:r>
        <w:rPr>
          <w:sz w:val="26"/>
          <w:szCs w:val="26"/>
        </w:rPr>
        <w:t xml:space="preserve">и </w:t>
      </w:r>
      <w:r>
        <w:rPr>
          <w:b/>
          <w:bCs/>
          <w:sz w:val="26"/>
          <w:szCs w:val="26"/>
        </w:rPr>
        <w:t xml:space="preserve">Публичному акционерному обществу «Федеральная сетевая компания - Россети»</w:t>
      </w:r>
      <w:r>
        <w:rPr>
          <w:sz w:val="26"/>
          <w:szCs w:val="26"/>
        </w:rPr>
        <w:t xml:space="preserve">, зарегистрированному по адресу: г. Москва, ул. Беловежская, 4, в отношении следующего перечня персональных данных руководителей и собственников (участников, учредителе</w:t>
      </w:r>
      <w:r>
        <w:rPr>
          <w:sz w:val="26"/>
          <w:szCs w:val="26"/>
        </w:rPr>
        <w:t xml:space="preserve">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</w:t>
      </w:r>
      <w:r>
        <w:rPr>
          <w:sz w:val="26"/>
          <w:szCs w:val="26"/>
        </w:rPr>
        <w:t xml:space="preserve">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</w:t>
      </w:r>
      <w:r>
        <w:rPr>
          <w:sz w:val="26"/>
          <w:szCs w:val="26"/>
        </w:rPr>
        <w:t xml:space="preserve">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spacing w:after="60"/>
        <w:rPr>
          <w:sz w:val="26"/>
          <w:szCs w:val="26"/>
        </w:rPr>
      </w:pPr>
      <w:r>
        <w:rPr>
          <w:sz w:val="26"/>
          <w:szCs w:val="26"/>
        </w:rPr>
        <w:t xml:space="preserve">Цель обработки персональных данных: </w:t>
      </w:r>
      <w:r>
        <w:rPr>
          <w:sz w:val="28"/>
          <w:szCs w:val="28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rPr>
          <w:sz w:val="26"/>
          <w:szCs w:val="26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6"/>
          <w:szCs w:val="26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spacing w:after="60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  <w:sz w:val="26"/>
          <w:szCs w:val="26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firstLine="567"/>
        <w:jc w:val="both"/>
        <w:spacing w:after="60"/>
        <w:rPr>
          <w:color w:val="000000"/>
          <w:sz w:val="20"/>
        </w:rPr>
      </w:pPr>
      <w:r>
        <w:rPr>
          <w:color w:val="000000"/>
          <w:sz w:val="20"/>
        </w:rPr>
        <w:t xml:space="preserve">_____________________________                                                                     ___________________________</w:t>
      </w:r>
      <w:r>
        <w:rPr>
          <w:color w:val="000000"/>
          <w:sz w:val="20"/>
        </w:rPr>
      </w:r>
      <w:r>
        <w:rPr>
          <w:color w:val="000000"/>
          <w:sz w:val="20"/>
        </w:rPr>
      </w:r>
    </w:p>
    <w:p>
      <w:pPr>
        <w:ind w:firstLine="567"/>
        <w:jc w:val="both"/>
        <w:spacing w:after="60"/>
        <w:rPr>
          <w:sz w:val="20"/>
        </w:rPr>
      </w:pPr>
      <w:r>
        <w:rPr>
          <w:sz w:val="20"/>
        </w:rPr>
        <w:t xml:space="preserve">(Подпись субъекта персональных данных/                                                 (Ф.И.О. и должность подписавшего*)</w:t>
      </w:r>
      <w:r>
        <w:rPr>
          <w:sz w:val="20"/>
        </w:rPr>
      </w:r>
      <w:r>
        <w:rPr>
          <w:sz w:val="20"/>
        </w:rPr>
      </w:r>
    </w:p>
    <w:p>
      <w:pPr>
        <w:ind w:firstLine="567"/>
        <w:jc w:val="both"/>
        <w:spacing w:after="60"/>
        <w:rPr>
          <w:sz w:val="20"/>
        </w:rPr>
      </w:pPr>
      <w:r>
        <w:rPr>
          <w:sz w:val="20"/>
        </w:rPr>
        <w:t xml:space="preserve">уполномоченного представителя)                                                </w:t>
      </w:r>
      <w:r>
        <w:rPr>
          <w:sz w:val="20"/>
        </w:rPr>
      </w:r>
      <w:r>
        <w:rPr>
          <w:sz w:val="20"/>
        </w:rPr>
      </w:r>
    </w:p>
    <w:p>
      <w:pPr>
        <w:ind w:firstLine="567"/>
        <w:jc w:val="both"/>
        <w:spacing w:after="60"/>
        <w:rPr>
          <w:b/>
          <w:bCs/>
          <w:sz w:val="20"/>
        </w:rPr>
      </w:pPr>
      <w:r>
        <w:rPr>
          <w:b/>
          <w:bCs/>
          <w:sz w:val="20"/>
        </w:rPr>
        <w:t xml:space="preserve">М.П.</w:t>
      </w:r>
      <w:r>
        <w:rPr>
          <w:b/>
          <w:bCs/>
          <w:sz w:val="20"/>
        </w:rPr>
      </w:r>
      <w:r>
        <w:rPr>
          <w:b/>
          <w:bCs/>
          <w:sz w:val="20"/>
        </w:rPr>
      </w:r>
    </w:p>
    <w:p>
      <w:pPr>
        <w:ind w:firstLine="567"/>
        <w:jc w:val="both"/>
        <w:spacing w:after="60"/>
        <w:rPr>
          <w:b/>
          <w:sz w:val="14"/>
          <w:szCs w:val="14"/>
        </w:rPr>
      </w:pPr>
      <w:r>
        <w:rPr>
          <w:sz w:val="14"/>
          <w:szCs w:val="14"/>
        </w:rPr>
        <w:t xml:space="preserve">* Указывается фамилия, имя, отчество, адрес су</w:t>
      </w:r>
      <w:r>
        <w:rPr>
          <w:sz w:val="14"/>
          <w:szCs w:val="14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sz w:val="14"/>
          <w:szCs w:val="14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b/>
          <w:sz w:val="14"/>
          <w:szCs w:val="14"/>
        </w:rPr>
      </w:r>
      <w:r>
        <w:rPr>
          <w:b/>
          <w:sz w:val="14"/>
          <w:szCs w:val="14"/>
        </w:rPr>
      </w:r>
    </w:p>
    <w:p>
      <w:pPr>
        <w:ind w:firstLine="567"/>
        <w:jc w:val="both"/>
        <w:spacing w:after="60"/>
        <w:rPr>
          <w:sz w:val="14"/>
          <w:szCs w:val="14"/>
        </w:rPr>
      </w:pPr>
      <w:r>
        <w:rPr>
          <w:sz w:val="14"/>
          <w:szCs w:val="14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r>
        <w:rPr>
          <w:sz w:val="14"/>
          <w:szCs w:val="14"/>
        </w:rPr>
        <w:t xml:space="preserve">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sz w:val="14"/>
          <w:szCs w:val="14"/>
        </w:rPr>
      </w:r>
      <w:r>
        <w:rPr>
          <w:sz w:val="14"/>
          <w:szCs w:val="14"/>
        </w:rPr>
      </w:r>
    </w:p>
    <w:p>
      <w:pPr>
        <w:ind w:firstLine="567"/>
        <w:jc w:val="both"/>
        <w:spacing w:after="60"/>
        <w:rPr>
          <w:sz w:val="20"/>
        </w:rPr>
      </w:pPr>
      <w:r>
        <w:rPr>
          <w:sz w:val="14"/>
          <w:szCs w:val="14"/>
        </w:rPr>
        <w:t xml:space="preserve">*** Зап</w:t>
      </w:r>
      <w:r>
        <w:rPr>
          <w:sz w:val="14"/>
          <w:szCs w:val="14"/>
        </w:rPr>
        <w:t xml:space="preserve">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</w:t>
      </w:r>
      <w:r>
        <w:rPr>
          <w:sz w:val="14"/>
          <w:szCs w:val="14"/>
        </w:rPr>
        <w:t xml:space="preserve">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</w:t>
      </w:r>
      <w:r>
        <w:rPr>
          <w:sz w:val="14"/>
          <w:szCs w:val="14"/>
        </w:rPr>
        <w:t xml:space="preserve">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получи</w:t>
      </w:r>
      <w:r>
        <w:rPr>
          <w:sz w:val="14"/>
          <w:szCs w:val="14"/>
        </w:rPr>
        <w:t xml:space="preserve">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r>
        <w:rPr>
          <w:sz w:val="20"/>
        </w:rPr>
      </w:r>
      <w:r>
        <w:rPr>
          <w:sz w:val="20"/>
        </w:rPr>
      </w:r>
    </w:p>
    <w:p>
      <w:pPr>
        <w:rPr>
          <w:bCs/>
          <w:sz w:val="20"/>
        </w:rPr>
      </w:pPr>
      <w:r>
        <w:rPr>
          <w:bCs/>
          <w:sz w:val="20"/>
        </w:rPr>
      </w:r>
      <w:r>
        <w:rPr>
          <w:bCs/>
          <w:sz w:val="20"/>
        </w:rPr>
      </w:r>
      <w:r>
        <w:rPr>
          <w:bCs/>
          <w:sz w:val="20"/>
        </w:rPr>
      </w:r>
    </w:p>
    <w:p>
      <w:pPr>
        <w:pStyle w:val="1123"/>
        <w:ind w:left="567"/>
        <w:keepNext w:val="0"/>
        <w:spacing w:after="0"/>
        <w:widowControl w:val="off"/>
        <w:rPr>
          <w:caps/>
          <w:sz w:val="24"/>
          <w:szCs w:val="24"/>
        </w:rPr>
      </w:pPr>
      <w:r>
        <w:br w:type="page" w:clear="all"/>
      </w:r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pStyle w:val="1123"/>
        <w:jc w:val="center"/>
        <w:keepNext w:val="0"/>
        <w:spacing w:after="0"/>
        <w:widowControl w:val="off"/>
        <w:rPr>
          <w:sz w:val="24"/>
          <w:szCs w:val="24"/>
          <w:highlight w:val="red"/>
          <w:lang w:val="ru-RU"/>
        </w:r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  <w:highlight w:val="red"/>
          <w:lang w:val="ru-RU"/>
        </w:rPr>
      </w:r>
      <w:r>
        <w:rPr>
          <w:sz w:val="24"/>
          <w:szCs w:val="24"/>
          <w:highlight w:val="red"/>
          <w:lang w:val="ru-RU"/>
        </w:rPr>
      </w:r>
      <w:r>
        <w:rPr>
          <w:sz w:val="24"/>
          <w:szCs w:val="24"/>
          <w:highlight w:val="red"/>
          <w:lang w:val="ru-RU"/>
        </w:rPr>
      </w:r>
    </w:p>
    <w:p>
      <w:pPr>
        <w:pStyle w:val="1123"/>
        <w:ind w:left="567"/>
        <w:jc w:val="center"/>
        <w:pageBreakBefore/>
        <w:spacing w:after="0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  <w:lang w:val="ru-RU"/>
        </w:rPr>
        <w:t xml:space="preserve">9</w:t>
      </w:r>
      <w:r>
        <w:rPr>
          <w:caps/>
          <w:sz w:val="24"/>
          <w:szCs w:val="24"/>
        </w:rPr>
        <w:t xml:space="preserve">. Сведения о распределении объемов поставок, работ (услуг) между участником и субподрядчиками (соисполнителями/сопоставщиками)</w:t>
      </w:r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ind w:right="34"/>
        <w:jc w:val="center"/>
        <w:rPr>
          <w:b/>
          <w:bCs/>
          <w:iCs/>
          <w:sz w:val="22"/>
          <w:szCs w:val="22"/>
          <w:lang w:eastAsia="ar-SA"/>
        </w:rPr>
        <w:outlineLvl w:val="1"/>
      </w:pPr>
      <w:r>
        <w:rPr>
          <w:b/>
          <w:bCs/>
          <w:iCs/>
          <w:sz w:val="22"/>
          <w:szCs w:val="22"/>
          <w:lang w:eastAsia="ar-SA"/>
        </w:rPr>
      </w:r>
      <w:r>
        <w:rPr>
          <w:b/>
          <w:bCs/>
          <w:iCs/>
          <w:sz w:val="22"/>
          <w:szCs w:val="22"/>
          <w:lang w:eastAsia="ar-SA"/>
        </w:rPr>
      </w:r>
      <w:r>
        <w:rPr>
          <w:b/>
          <w:bCs/>
          <w:iCs/>
          <w:sz w:val="22"/>
          <w:szCs w:val="22"/>
          <w:lang w:eastAsia="ar-SA"/>
        </w:rPr>
      </w:r>
    </w:p>
    <w:p>
      <w:pPr>
        <w:ind w:right="34"/>
        <w:jc w:val="center"/>
        <w:rPr>
          <w:bCs/>
          <w:lang w:eastAsia="ar-SA"/>
        </w:rPr>
        <w:outlineLvl w:val="1"/>
      </w:pPr>
      <w:r>
        <w:rPr>
          <w:b/>
          <w:bCs/>
          <w:iCs/>
          <w:lang w:eastAsia="ar-SA"/>
        </w:rPr>
        <w:t xml:space="preserve">Сведения о распределении выполнения объемов поставок, работ, услуг между участником и субподрядчиками (соисполнителями/сопоставщиками)</w:t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ind w:right="34" w:firstLine="567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</w:r>
      <w:r>
        <w:rPr>
          <w:b/>
          <w:sz w:val="22"/>
          <w:szCs w:val="22"/>
          <w:lang w:eastAsia="ar-SA"/>
        </w:rPr>
      </w:r>
      <w:r>
        <w:rPr>
          <w:b/>
          <w:sz w:val="22"/>
          <w:szCs w:val="22"/>
          <w:lang w:eastAsia="ar-SA"/>
        </w:rPr>
      </w:r>
    </w:p>
    <w:p>
      <w:pPr>
        <w:ind w:right="34" w:firstLine="567"/>
        <w:rPr>
          <w:bCs/>
        </w:rPr>
        <w:outlineLvl w:val="1"/>
      </w:pPr>
      <w:r>
        <w:rPr>
          <w:bCs/>
        </w:rPr>
        <w:t xml:space="preserve">Способ и наименование закупки, с указанием № на ЭП _________________</w:t>
      </w:r>
      <w:r>
        <w:rPr>
          <w:bCs/>
        </w:rPr>
      </w:r>
      <w:r>
        <w:rPr>
          <w:bCs/>
        </w:rPr>
      </w:r>
    </w:p>
    <w:p>
      <w:pPr>
        <w:ind w:right="34" w:firstLine="567"/>
        <w:rPr>
          <w:iCs/>
          <w:sz w:val="22"/>
          <w:szCs w:val="28"/>
          <w:lang w:eastAsia="ar-SA"/>
        </w:rPr>
        <w:outlineLvl w:val="1"/>
      </w:pPr>
      <w:r>
        <w:rPr>
          <w:bCs/>
          <w:iCs/>
          <w:sz w:val="22"/>
          <w:szCs w:val="28"/>
          <w:lang w:eastAsia="ar-SA"/>
        </w:rPr>
        <w:t xml:space="preserve">Наименование и адрес участника __________________________________________</w:t>
      </w:r>
      <w:r>
        <w:rPr>
          <w:iCs/>
          <w:sz w:val="22"/>
          <w:szCs w:val="28"/>
          <w:lang w:eastAsia="ar-SA"/>
        </w:rPr>
      </w:r>
      <w:r>
        <w:rPr>
          <w:iCs/>
          <w:sz w:val="22"/>
          <w:szCs w:val="28"/>
          <w:lang w:eastAsia="ar-SA"/>
        </w:rPr>
      </w:r>
    </w:p>
    <w:p>
      <w:pPr>
        <w:ind w:right="34" w:firstLine="567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585"/>
        <w:gridCol w:w="2660"/>
        <w:gridCol w:w="2483"/>
        <w:gridCol w:w="1887"/>
        <w:gridCol w:w="1509"/>
        <w:gridCol w:w="1297"/>
      </w:tblGrid>
      <w:tr>
        <w:tblPrEx/>
        <w:trPr>
          <w:cantSplit/>
        </w:trPr>
        <w:tc>
          <w:tcPr>
            <w:tcW w:w="585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№ п/п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Наименование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Наименование организации, выполняющий данный объем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Сроки выполнения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gridSpan w:val="2"/>
            <w:tcW w:w="2806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Стоимость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585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509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в денежном выражении, руб.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(без НДС)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9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в % от общей стоимости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567"/>
              <w:spacing w:after="60"/>
              <w:tabs>
                <w:tab w:val="num" w:pos="0" w:leader="none"/>
              </w:tabs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567"/>
              <w:spacing w:after="60"/>
              <w:tabs>
                <w:tab w:val="num" w:pos="0" w:leader="none"/>
              </w:tabs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567"/>
              <w:spacing w:after="60"/>
              <w:rPr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  <w:t xml:space="preserve">…</w:t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</w:tr>
      <w:tr>
        <w:tblPrEx/>
        <w:trPr/>
        <w:tc>
          <w:tcPr>
            <w:gridSpan w:val="3"/>
            <w:tcW w:w="5728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b/>
                <w:sz w:val="20"/>
                <w:lang w:eastAsia="ar-SA"/>
              </w:rPr>
            </w:pPr>
            <w:r>
              <w:rPr>
                <w:b/>
                <w:bCs/>
                <w:sz w:val="20"/>
                <w:lang w:eastAsia="ar-SA"/>
              </w:rPr>
              <w:t xml:space="preserve">ИТОГО</w:t>
            </w:r>
            <w:r>
              <w:rPr>
                <w:b/>
                <w:sz w:val="20"/>
                <w:lang w:eastAsia="ar-SA"/>
              </w:rPr>
            </w:r>
            <w:r>
              <w:rPr>
                <w:b/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b/>
                <w:sz w:val="20"/>
                <w:lang w:eastAsia="ar-SA"/>
              </w:rPr>
            </w:pPr>
            <w:r>
              <w:rPr>
                <w:b/>
                <w:sz w:val="20"/>
                <w:lang w:eastAsia="ar-SA"/>
              </w:rPr>
            </w:r>
            <w:r>
              <w:rPr>
                <w:b/>
                <w:sz w:val="20"/>
                <w:lang w:eastAsia="ar-SA"/>
              </w:rPr>
            </w:r>
            <w:r>
              <w:rPr>
                <w:b/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b/>
                <w:sz w:val="20"/>
                <w:lang w:eastAsia="ar-SA"/>
              </w:rPr>
            </w:pPr>
            <w:r>
              <w:rPr>
                <w:b/>
                <w:sz w:val="20"/>
                <w:lang w:eastAsia="ar-SA"/>
              </w:rPr>
            </w:r>
            <w:r>
              <w:rPr>
                <w:b/>
                <w:sz w:val="20"/>
                <w:lang w:eastAsia="ar-SA"/>
              </w:rPr>
            </w:r>
            <w:r>
              <w:rPr>
                <w:b/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hanging="23"/>
              <w:spacing w:after="60"/>
              <w:rPr>
                <w:b/>
                <w:sz w:val="20"/>
                <w:lang w:eastAsia="ar-SA"/>
              </w:rPr>
            </w:pPr>
            <w:r>
              <w:rPr>
                <w:b/>
                <w:bCs/>
                <w:sz w:val="20"/>
                <w:lang w:eastAsia="ar-SA"/>
              </w:rPr>
              <w:t xml:space="preserve">100%</w:t>
            </w:r>
            <w:r>
              <w:rPr>
                <w:b/>
                <w:sz w:val="20"/>
                <w:lang w:eastAsia="ar-SA"/>
              </w:rPr>
            </w:r>
            <w:r>
              <w:rPr>
                <w:b/>
                <w:sz w:val="20"/>
                <w:lang w:eastAsia="ar-SA"/>
              </w:rPr>
            </w:r>
          </w:p>
        </w:tc>
      </w:tr>
    </w:tbl>
    <w:p>
      <w:pPr>
        <w:ind w:right="34"/>
        <w:rPr>
          <w:b/>
          <w:caps/>
          <w:sz w:val="26"/>
        </w:rPr>
      </w:pPr>
      <w:r>
        <w:rPr>
          <w:b/>
          <w:caps/>
          <w:sz w:val="26"/>
        </w:rPr>
      </w:r>
      <w:r>
        <w:rPr>
          <w:b/>
          <w:caps/>
          <w:sz w:val="26"/>
        </w:rPr>
      </w:r>
      <w:r>
        <w:rPr>
          <w:b/>
          <w:caps/>
          <w:sz w:val="26"/>
        </w:rPr>
      </w:r>
    </w:p>
    <w:p>
      <w:pPr>
        <w:ind w:right="34" w:firstLine="567"/>
        <w:rPr>
          <w:sz w:val="22"/>
          <w:szCs w:val="28"/>
          <w:lang w:eastAsia="ar-SA"/>
        </w:rPr>
      </w:pPr>
      <w:r>
        <w:rPr>
          <w:bCs/>
          <w:sz w:val="22"/>
          <w:szCs w:val="22"/>
          <w:lang w:eastAsia="ar-SA"/>
        </w:rPr>
        <w:t xml:space="preserve">____________________________________                 ______________________</w:t>
      </w:r>
      <w:r>
        <w:rPr>
          <w:sz w:val="22"/>
          <w:szCs w:val="28"/>
          <w:lang w:eastAsia="ar-SA"/>
        </w:rPr>
      </w:r>
      <w:r>
        <w:rPr>
          <w:sz w:val="22"/>
          <w:szCs w:val="28"/>
          <w:lang w:eastAsia="ar-SA"/>
        </w:rPr>
      </w:r>
    </w:p>
    <w:p>
      <w:pPr>
        <w:ind w:right="34" w:firstLine="567"/>
        <w:rPr>
          <w:sz w:val="20"/>
          <w:szCs w:val="22"/>
          <w:lang w:eastAsia="ar-SA"/>
        </w:rPr>
      </w:pPr>
      <w:r>
        <w:rPr>
          <w:bCs/>
          <w:sz w:val="18"/>
          <w:lang w:eastAsia="ar-SA"/>
        </w:rPr>
        <w:t xml:space="preserve">       (Подпись уполномоченного представителя)                          (Имя и должность подписавшего</w:t>
      </w:r>
      <w:r>
        <w:rPr>
          <w:bCs/>
          <w:sz w:val="20"/>
          <w:lang w:eastAsia="ar-SA"/>
        </w:rPr>
        <w:t xml:space="preserve">)</w:t>
      </w:r>
      <w:r>
        <w:rPr>
          <w:sz w:val="20"/>
          <w:szCs w:val="22"/>
          <w:lang w:eastAsia="ar-SA"/>
        </w:rPr>
      </w:r>
      <w:r>
        <w:rPr>
          <w:sz w:val="20"/>
          <w:szCs w:val="22"/>
          <w:lang w:eastAsia="ar-SA"/>
        </w:rPr>
      </w:r>
    </w:p>
    <w:p>
      <w:pPr>
        <w:ind w:right="34" w:firstLine="567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p>
      <w:pPr>
        <w:ind w:right="34" w:firstLine="567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М.П.</w:t>
      </w:r>
      <w:r>
        <w:rPr>
          <w:b/>
          <w:bCs/>
          <w:sz w:val="22"/>
          <w:szCs w:val="22"/>
          <w:lang w:eastAsia="ar-SA"/>
        </w:rPr>
      </w:r>
      <w:r>
        <w:rPr>
          <w:b/>
          <w:bCs/>
          <w:sz w:val="22"/>
          <w:szCs w:val="22"/>
          <w:lang w:eastAsia="ar-SA"/>
        </w:rPr>
      </w:r>
    </w:p>
    <w:p>
      <w:pPr>
        <w:ind w:right="34" w:firstLine="567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</w:r>
      <w:r>
        <w:rPr>
          <w:b/>
          <w:bCs/>
          <w:sz w:val="22"/>
          <w:szCs w:val="22"/>
          <w:lang w:eastAsia="ar-SA"/>
        </w:rPr>
      </w:r>
      <w:r>
        <w:rPr>
          <w:b/>
          <w:bCs/>
          <w:sz w:val="22"/>
          <w:szCs w:val="22"/>
          <w:lang w:eastAsia="ar-SA"/>
        </w:rPr>
      </w:r>
    </w:p>
    <w:p>
      <w:pPr>
        <w:ind w:right="34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заполнению: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3"/>
          <w:numId w:val="36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приводит номер и дату письма о подаче оферты, приложением к которому является данная справка.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3"/>
          <w:numId w:val="36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3"/>
          <w:numId w:val="36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данной форме участник указывает: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jc w:val="both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  <w:lang w:val="en-US" w:eastAsia="en-US"/>
        </w:rPr>
        <w:t xml:space="preserve">- </w:t>
      </w:r>
      <w:r>
        <w:rPr>
          <w:sz w:val="20"/>
          <w:szCs w:val="20"/>
          <w:lang w:eastAsia="en-US"/>
        </w:rPr>
        <w:t xml:space="preserve">перечень, долю в процентном выражении и стоимость</w:t>
      </w:r>
      <w:r>
        <w:rPr>
          <w:sz w:val="20"/>
          <w:szCs w:val="20"/>
          <w:lang w:val="en-US" w:eastAsia="en-US"/>
        </w:rPr>
        <w:t xml:space="preserve"> выполняемых участником и каждым субподрядчиком (соисполнителем/сопоставщиком) поставок, работ, услуг;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сроки выполнения поставок, работ, услуг участником и каждым субподрядчиком(соисполнителем/сопоставщиком);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3"/>
          <w:numId w:val="36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  <w:lang w:val="en-US" w:eastAsia="en-US"/>
        </w:rPr>
        <w:t xml:space="preserve">К данной форме участник должен приложить подписанные с двух сторон соглашения о намерениях заключить договор, с указанием перечня, объема, стоимости и сроков выполнения возлагаемых на субподрядчика поставок, работ, услуг.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3"/>
          <w:numId w:val="36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 закупкам ПИР и СМР данная форма заполняется как в случае привлечения участником субпод</w:t>
      </w:r>
      <w:r>
        <w:rPr>
          <w:sz w:val="20"/>
          <w:szCs w:val="20"/>
        </w:rPr>
        <w:t xml:space="preserve">рядчиков, так и в случае не привлечения субподрядчиков; в последнем случае в таблицах приводятся слова «Субподрядчики не привлекаются». По остальным категориям закупок предоставляется только в случае привлечения субподрядчиков/соисполнителей/сопоставщиков.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720"/>
        <w:jc w:val="center"/>
        <w:tabs>
          <w:tab w:val="left" w:pos="1134" w:leader="none"/>
        </w:tabs>
        <w:rPr>
          <w:b/>
          <w:caps/>
        </w:rPr>
      </w:pPr>
      <w:r>
        <w:rPr>
          <w:sz w:val="20"/>
          <w:szCs w:val="20"/>
        </w:rPr>
        <w:br w:type="page" w:clear="all"/>
      </w:r>
      <w:r>
        <w:rPr>
          <w:b/>
          <w:caps/>
        </w:rPr>
        <w:t xml:space="preserve">ФОРМА 10. Сведения о распределении объемов поставок, работ (услуг) между членами коллективного участника</w:t>
      </w:r>
      <w:r>
        <w:rPr>
          <w:b/>
          <w:caps/>
        </w:rPr>
      </w:r>
      <w:r>
        <w:rPr>
          <w:b/>
          <w:caps/>
        </w:rPr>
      </w:r>
    </w:p>
    <w:p>
      <w:r/>
      <w:r/>
    </w:p>
    <w:p>
      <w:pPr>
        <w:ind w:right="34" w:firstLine="709"/>
        <w:jc w:val="center"/>
        <w:rPr>
          <w:b/>
          <w:bCs/>
          <w:iCs/>
          <w:sz w:val="28"/>
          <w:szCs w:val="28"/>
        </w:rPr>
        <w:outlineLvl w:val="1"/>
      </w:pPr>
      <w:r>
        <w:rPr>
          <w:b/>
          <w:bCs/>
          <w:iCs/>
        </w:rPr>
        <w:t xml:space="preserve">Сведения о распределении выполнения объемов поставок, работ, услуг между коллективными участниками</w:t>
      </w:r>
      <w:r>
        <w:rPr>
          <w:b/>
          <w:bCs/>
          <w:iCs/>
          <w:sz w:val="28"/>
          <w:szCs w:val="28"/>
        </w:rPr>
      </w:r>
      <w:r>
        <w:rPr>
          <w:b/>
          <w:bCs/>
          <w:iCs/>
          <w:sz w:val="28"/>
          <w:szCs w:val="28"/>
        </w:rPr>
      </w:r>
    </w:p>
    <w:p>
      <w:pPr>
        <w:ind w:right="34" w:firstLine="567"/>
        <w:rPr>
          <w:bCs/>
          <w:sz w:val="10"/>
          <w:szCs w:val="10"/>
        </w:rPr>
      </w:pPr>
      <w:r>
        <w:rPr>
          <w:bCs/>
          <w:sz w:val="10"/>
          <w:szCs w:val="10"/>
        </w:rPr>
      </w:r>
      <w:r>
        <w:rPr>
          <w:bCs/>
          <w:sz w:val="10"/>
          <w:szCs w:val="10"/>
        </w:rPr>
      </w:r>
      <w:r>
        <w:rPr>
          <w:bCs/>
          <w:sz w:val="10"/>
          <w:szCs w:val="10"/>
        </w:rPr>
      </w:r>
    </w:p>
    <w:p>
      <w:pPr>
        <w:ind w:right="34" w:firstLine="567"/>
        <w:rPr>
          <w:b/>
          <w:bCs/>
          <w:sz w:val="10"/>
          <w:szCs w:val="10"/>
        </w:rPr>
      </w:pPr>
      <w:r>
        <w:rPr>
          <w:b/>
          <w:bCs/>
          <w:sz w:val="10"/>
          <w:szCs w:val="10"/>
        </w:rPr>
      </w:r>
      <w:r>
        <w:rPr>
          <w:b/>
          <w:bCs/>
          <w:sz w:val="10"/>
          <w:szCs w:val="10"/>
        </w:rPr>
      </w:r>
      <w:r>
        <w:rPr>
          <w:b/>
          <w:bCs/>
          <w:sz w:val="10"/>
          <w:szCs w:val="10"/>
        </w:rPr>
      </w:r>
    </w:p>
    <w:p>
      <w:pPr>
        <w:ind w:right="34" w:firstLine="709"/>
        <w:rPr>
          <w:bCs/>
        </w:rPr>
        <w:outlineLvl w:val="1"/>
      </w:pPr>
      <w:r>
        <w:rPr>
          <w:bCs/>
        </w:rPr>
        <w:t xml:space="preserve">Способ и наименование закупки, с указанием № на ЭП ________________</w:t>
      </w:r>
      <w:r>
        <w:rPr>
          <w:bCs/>
        </w:rPr>
      </w:r>
      <w:r>
        <w:rPr>
          <w:bCs/>
        </w:rPr>
      </w:r>
    </w:p>
    <w:p>
      <w:pPr>
        <w:ind w:right="34" w:firstLine="709"/>
        <w:rPr>
          <w:bCs/>
          <w:iCs/>
          <w:szCs w:val="28"/>
        </w:rPr>
        <w:outlineLvl w:val="1"/>
      </w:pPr>
      <w:r>
        <w:rPr>
          <w:bCs/>
          <w:iCs/>
          <w:szCs w:val="28"/>
        </w:rPr>
        <w:t xml:space="preserve">Наименование участника __________________________________________</w:t>
      </w:r>
      <w:r>
        <w:rPr>
          <w:bCs/>
          <w:iCs/>
          <w:szCs w:val="28"/>
        </w:rPr>
      </w:r>
      <w:r>
        <w:rPr>
          <w:bCs/>
          <w:iCs/>
          <w:szCs w:val="28"/>
        </w:rPr>
      </w:r>
    </w:p>
    <w:p>
      <w:pPr>
        <w:ind w:right="34" w:firstLine="709"/>
        <w:rPr>
          <w:bCs/>
          <w:iCs/>
          <w:szCs w:val="28"/>
        </w:rPr>
        <w:outlineLvl w:val="1"/>
      </w:pPr>
      <w:r>
        <w:rPr>
          <w:bCs/>
          <w:iCs/>
          <w:szCs w:val="28"/>
        </w:rPr>
      </w:r>
      <w:r>
        <w:rPr>
          <w:bCs/>
          <w:iCs/>
          <w:szCs w:val="28"/>
        </w:rPr>
      </w:r>
      <w:r>
        <w:rPr>
          <w:bCs/>
          <w:iCs/>
          <w:szCs w:val="28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585"/>
        <w:gridCol w:w="2660"/>
        <w:gridCol w:w="2483"/>
        <w:gridCol w:w="1887"/>
        <w:gridCol w:w="1509"/>
        <w:gridCol w:w="1297"/>
      </w:tblGrid>
      <w:tr>
        <w:tblPrEx/>
        <w:trPr>
          <w:cantSplit/>
        </w:trPr>
        <w:tc>
          <w:tcPr>
            <w:tcW w:w="585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№ п/п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Наименование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Наименование организации, выполняющий данный объем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Сроки выполнения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gridSpan w:val="2"/>
            <w:tcW w:w="2806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Стоимость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585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509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в денежном выражении, руб.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(без НДС)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9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в % от общей стоимости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709"/>
              <w:spacing w:after="60"/>
              <w:tabs>
                <w:tab w:val="num" w:pos="0" w:leader="none"/>
              </w:tabs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709"/>
              <w:spacing w:after="60"/>
              <w:tabs>
                <w:tab w:val="num" w:pos="0" w:leader="none"/>
              </w:tabs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…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/>
        <w:tc>
          <w:tcPr>
            <w:gridSpan w:val="3"/>
            <w:tcW w:w="5728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ИТОГО</w: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hanging="23"/>
              <w:spacing w:after="6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100%</w: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</w:tr>
    </w:tbl>
    <w:p>
      <w:pPr>
        <w:ind w:right="34"/>
        <w:rPr>
          <w:b/>
          <w:caps/>
          <w:sz w:val="26"/>
        </w:rPr>
      </w:pPr>
      <w:r>
        <w:rPr>
          <w:b/>
          <w:caps/>
          <w:sz w:val="26"/>
        </w:rPr>
      </w:r>
      <w:r>
        <w:rPr>
          <w:b/>
          <w:caps/>
          <w:sz w:val="26"/>
        </w:rPr>
      </w:r>
      <w:r>
        <w:rPr>
          <w:b/>
          <w:caps/>
          <w:sz w:val="26"/>
        </w:rPr>
      </w:r>
    </w:p>
    <w:p>
      <w:pPr>
        <w:ind w:right="34" w:firstLine="567"/>
        <w:rPr>
          <w:bCs/>
          <w:szCs w:val="28"/>
        </w:rPr>
      </w:pPr>
      <w:r>
        <w:rPr>
          <w:bCs/>
        </w:rPr>
        <w:t xml:space="preserve">____________________________________                 ______________________</w:t>
      </w:r>
      <w:r>
        <w:rPr>
          <w:bCs/>
          <w:szCs w:val="28"/>
        </w:rPr>
      </w:r>
      <w:r>
        <w:rPr>
          <w:bCs/>
          <w:szCs w:val="28"/>
        </w:rPr>
      </w:r>
    </w:p>
    <w:p>
      <w:pPr>
        <w:ind w:right="34" w:firstLine="567"/>
        <w:rPr>
          <w:bCs/>
          <w:sz w:val="20"/>
        </w:rPr>
      </w:pPr>
      <w:r>
        <w:rPr>
          <w:bCs/>
          <w:sz w:val="18"/>
        </w:rPr>
        <w:t xml:space="preserve">       (Подпись уполномоченного представителя)                          (Имя и должность подписавшего</w:t>
      </w:r>
      <w:r>
        <w:rPr>
          <w:bCs/>
          <w:sz w:val="20"/>
        </w:rPr>
        <w:t xml:space="preserve">)</w:t>
      </w:r>
      <w:r>
        <w:rPr>
          <w:bCs/>
          <w:sz w:val="20"/>
        </w:rPr>
      </w:r>
      <w:r>
        <w:rPr>
          <w:bCs/>
          <w:sz w:val="20"/>
        </w:rPr>
      </w:r>
    </w:p>
    <w:p>
      <w:pPr>
        <w:ind w:right="34" w:firstLine="567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right="34" w:firstLine="709"/>
        <w:rPr>
          <w:b/>
        </w:rPr>
      </w:pPr>
      <w:r>
        <w:rPr>
          <w:b/>
        </w:rPr>
        <w:t xml:space="preserve">М.П.</w:t>
      </w:r>
      <w:r>
        <w:rPr>
          <w:b/>
        </w:rPr>
      </w:r>
      <w:r>
        <w:rPr>
          <w:b/>
        </w:rPr>
      </w:r>
    </w:p>
    <w:p>
      <w:pPr>
        <w:ind w:right="34" w:firstLine="709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 w:firstLine="709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p>
      <w:pPr>
        <w:ind w:right="34"/>
        <w:rPr>
          <w:sz w:val="20"/>
          <w:szCs w:val="20"/>
        </w:rPr>
      </w:pPr>
      <w:r>
        <w:rPr>
          <w:b/>
          <w:sz w:val="20"/>
          <w:szCs w:val="20"/>
        </w:rPr>
        <w:t xml:space="preserve">Инструкция по заполнению*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1. Участник приводит номер и дату письма о подаче оферты, приложением к которому является данная справка.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2. Участник указывает свое фирменное наименование (в т.ч. организационно-правовую форму) и свой адрес.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3. В данной форме участник указывает: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п</w:t>
      </w:r>
      <w:r>
        <w:rPr>
          <w:sz w:val="20"/>
        </w:rPr>
        <w:t xml:space="preserve">еречень, долю в процентном выражении и стоимость</w:t>
      </w:r>
      <w:r>
        <w:rPr>
          <w:sz w:val="20"/>
          <w:szCs w:val="20"/>
        </w:rPr>
        <w:t xml:space="preserve"> выполняемых каждым членом коллективного участника поставок, работ, услуг;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сроки выполнения поставок, работ, услуг каждым членом коллективного участника;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4. К данной форме участник должен приложить подписанные с двух сторон соглашения о намерениях заключить договор, с указанием перечня, </w:t>
      </w:r>
      <w:r>
        <w:rPr>
          <w:sz w:val="20"/>
        </w:rPr>
        <w:t xml:space="preserve">объема, стоимости</w:t>
      </w:r>
      <w:r>
        <w:rPr>
          <w:sz w:val="20"/>
          <w:szCs w:val="20"/>
          <w:lang w:eastAsia="en-US"/>
        </w:rPr>
        <w:t xml:space="preserve"> </w:t>
      </w:r>
      <w:r>
        <w:rPr>
          <w:sz w:val="20"/>
          <w:szCs w:val="20"/>
        </w:rPr>
        <w:t xml:space="preserve">и сроков выполнения возлагаемых на каждого коллективного участника поставок, работ, услуг.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rPr>
          <w:sz w:val="20"/>
          <w:szCs w:val="20"/>
        </w:rPr>
      </w:pPr>
      <w:r>
        <w:rPr>
          <w:sz w:val="20"/>
          <w:szCs w:val="20"/>
        </w:rPr>
        <w:t xml:space="preserve">5. Данная форма заполняется только в случае участия в закупке Коллективного участника.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23"/>
        <w:jc w:val="center"/>
        <w:keepNext w:val="0"/>
        <w:spacing w:after="0"/>
        <w:widowControl w:val="off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pStyle w:val="1123"/>
        <w:ind w:left="567"/>
        <w:jc w:val="center"/>
        <w:pageBreakBefore/>
        <w:spacing w:after="0"/>
        <w:rPr>
          <w:bCs/>
          <w:caps/>
          <w:color w:val="000000"/>
          <w:sz w:val="24"/>
          <w:szCs w:val="24"/>
          <w:highlight w:val="white"/>
        </w:rPr>
      </w:pPr>
      <w:r>
        <w:rPr>
          <w:bCs/>
          <w:caps/>
          <w:sz w:val="24"/>
          <w:szCs w:val="24"/>
          <w:lang w:val="ru-RU" w:eastAsia="ru-RU"/>
        </w:rPr>
        <w:t xml:space="preserve">ФОРМА 11. независим</w:t>
      </w:r>
      <w:r>
        <w:rPr>
          <w:bCs/>
          <w:caps/>
          <w:sz w:val="24"/>
          <w:szCs w:val="24"/>
          <w:highlight w:val="white"/>
          <w:lang w:val="ru-RU" w:eastAsia="ru-RU"/>
        </w:rPr>
        <w:t xml:space="preserve">ая гарантия</w:t>
      </w:r>
      <w:r>
        <w:rPr>
          <w:bCs/>
          <w:caps/>
          <w:color w:val="000000"/>
          <w:sz w:val="24"/>
          <w:szCs w:val="24"/>
          <w:highlight w:val="white"/>
          <w:lang w:val="ru-RU" w:eastAsia="ru-RU"/>
        </w:rPr>
        <w:t xml:space="preserve"> на исполнение обязательств по договору</w:t>
      </w:r>
      <w:r>
        <w:rPr>
          <w:bCs/>
          <w:caps/>
          <w:color w:val="000000"/>
          <w:sz w:val="24"/>
          <w:szCs w:val="24"/>
          <w:highlight w:val="white"/>
        </w:rPr>
      </w:r>
      <w:r>
        <w:rPr>
          <w:bCs/>
          <w:caps/>
          <w:color w:val="000000"/>
          <w:sz w:val="24"/>
          <w:szCs w:val="24"/>
          <w:highlight w:val="white"/>
        </w:rPr>
      </w:r>
    </w:p>
    <w:p>
      <w:pPr>
        <w:ind w:left="4962"/>
        <w:jc w:val="both"/>
        <w:widowControl w:val="off"/>
        <w:rPr>
          <w:rFonts w:eastAsia="Calibri"/>
          <w:b/>
          <w:bCs/>
          <w:color w:val="000000"/>
          <w:highlight w:val="white"/>
        </w:rPr>
      </w:pPr>
      <w:r>
        <w:rPr>
          <w:rFonts w:eastAsia="Calibri"/>
          <w:b/>
          <w:bCs/>
          <w:color w:val="000000"/>
          <w:highlight w:val="white"/>
        </w:rPr>
      </w:r>
      <w:r>
        <w:rPr>
          <w:rFonts w:eastAsia="Calibri"/>
          <w:b/>
          <w:bCs/>
          <w:color w:val="000000"/>
          <w:highlight w:val="white"/>
        </w:rPr>
      </w:r>
      <w:r>
        <w:rPr>
          <w:rFonts w:eastAsia="Calibri"/>
          <w:b/>
          <w:bCs/>
          <w:color w:val="000000"/>
          <w:highlight w:val="white"/>
        </w:rPr>
      </w:r>
    </w:p>
    <w:p>
      <w:pPr>
        <w:jc w:val="center"/>
        <w:widowControl w:val="off"/>
        <w:rPr>
          <w:b/>
          <w:bCs/>
          <w:sz w:val="26"/>
          <w:szCs w:val="26"/>
          <w:highlight w:val="white"/>
        </w:rPr>
      </w:pPr>
      <w:r>
        <w:rPr>
          <w:rStyle w:val="1316"/>
          <w:b/>
          <w:bCs/>
          <w:sz w:val="26"/>
          <w:szCs w:val="26"/>
          <w:highlight w:val="white"/>
        </w:rPr>
        <w:t xml:space="preserve">НЕЗАВИСИМАЯ ГАРАНТИЯ № ______</w:t>
      </w: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p>
      <w:pPr>
        <w:widowControl w:val="off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p>
      <w:pPr>
        <w:jc w:val="both"/>
        <w:widowControl w:val="off"/>
        <w:rPr>
          <w:sz w:val="26"/>
          <w:szCs w:val="26"/>
          <w:highlight w:val="white"/>
        </w:rPr>
      </w:pPr>
      <w:r>
        <w:rPr>
          <w:rStyle w:val="1316"/>
          <w:sz w:val="26"/>
          <w:szCs w:val="26"/>
          <w:highlight w:val="white"/>
        </w:rPr>
        <w:t xml:space="preserve">г. ________</w:t>
      </w:r>
      <w:r>
        <w:rPr>
          <w:rStyle w:val="1316"/>
          <w:sz w:val="26"/>
          <w:szCs w:val="26"/>
          <w:highlight w:val="white"/>
        </w:rPr>
        <w:tab/>
      </w:r>
      <w:r>
        <w:rPr>
          <w:rStyle w:val="1316"/>
          <w:sz w:val="26"/>
          <w:szCs w:val="26"/>
          <w:highlight w:val="white"/>
        </w:rPr>
        <w:tab/>
      </w:r>
      <w:r>
        <w:rPr>
          <w:rStyle w:val="1316"/>
          <w:sz w:val="26"/>
          <w:szCs w:val="26"/>
          <w:highlight w:val="white"/>
        </w:rPr>
        <w:tab/>
      </w:r>
      <w:r>
        <w:rPr>
          <w:rStyle w:val="1316"/>
          <w:sz w:val="26"/>
          <w:szCs w:val="26"/>
          <w:highlight w:val="white"/>
        </w:rPr>
        <w:tab/>
      </w:r>
      <w:r>
        <w:rPr>
          <w:rStyle w:val="1316"/>
          <w:sz w:val="26"/>
          <w:szCs w:val="26"/>
          <w:highlight w:val="white"/>
        </w:rPr>
        <w:tab/>
      </w:r>
      <w:r>
        <w:rPr>
          <w:rStyle w:val="1316"/>
          <w:sz w:val="26"/>
          <w:szCs w:val="26"/>
          <w:highlight w:val="white"/>
        </w:rPr>
        <w:tab/>
      </w:r>
      <w:r>
        <w:rPr>
          <w:rStyle w:val="1316"/>
          <w:sz w:val="26"/>
          <w:szCs w:val="26"/>
          <w:highlight w:val="white"/>
        </w:rPr>
        <w:tab/>
      </w:r>
      <w:r>
        <w:rPr>
          <w:rStyle w:val="1316"/>
          <w:sz w:val="26"/>
          <w:szCs w:val="26"/>
          <w:highlight w:val="white"/>
        </w:rPr>
        <w:tab/>
        <w:t xml:space="preserve">           «___»___________20__ г.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jc w:val="center"/>
        <w:widowControl w:val="off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p>
      <w:pPr>
        <w:ind w:firstLine="708"/>
        <w:jc w:val="both"/>
        <w:widowControl w:val="off"/>
        <w:rPr>
          <w:i/>
          <w:iCs/>
          <w:sz w:val="26"/>
          <w:szCs w:val="26"/>
          <w:highlight w:val="white"/>
        </w:rPr>
      </w:pPr>
      <w:r>
        <w:rPr>
          <w:rStyle w:val="1316"/>
          <w:sz w:val="26"/>
          <w:szCs w:val="26"/>
          <w:highlight w:val="white"/>
        </w:rPr>
        <w:t xml:space="preserve"> _____________________ (</w:t>
      </w:r>
      <w:r>
        <w:rPr>
          <w:rStyle w:val="1316"/>
          <w:i/>
          <w:iCs/>
          <w:sz w:val="26"/>
          <w:szCs w:val="26"/>
          <w:highlight w:val="white"/>
        </w:rPr>
        <w:t xml:space="preserve">полное или сокращенное</w:t>
      </w:r>
      <w:r>
        <w:rPr>
          <w:rStyle w:val="1316"/>
          <w:sz w:val="26"/>
          <w:szCs w:val="26"/>
          <w:highlight w:val="white"/>
        </w:rPr>
        <w:t xml:space="preserve"> </w:t>
      </w:r>
      <w:r>
        <w:rPr>
          <w:rStyle w:val="1316"/>
          <w:i/>
          <w:iCs/>
          <w:sz w:val="26"/>
          <w:szCs w:val="26"/>
          <w:highlight w:val="white"/>
        </w:rPr>
        <w:t xml:space="preserve">наименование гаранта, ОГРН или ИНН), Генеральная/Универсальная</w:t>
      </w:r>
      <w:r>
        <w:rPr>
          <w:rStyle w:val="1316"/>
          <w:sz w:val="26"/>
          <w:szCs w:val="26"/>
          <w:highlight w:val="white"/>
        </w:rPr>
        <w:t xml:space="preserve"> </w:t>
      </w:r>
      <w:r>
        <w:rPr>
          <w:rStyle w:val="1316"/>
          <w:i/>
          <w:iCs/>
          <w:sz w:val="26"/>
          <w:szCs w:val="26"/>
          <w:highlight w:val="white"/>
        </w:rPr>
        <w:t xml:space="preserve">(выбрать нужное)</w:t>
      </w:r>
      <w:r>
        <w:rPr>
          <w:rStyle w:val="1316"/>
          <w:sz w:val="26"/>
          <w:szCs w:val="26"/>
          <w:highlight w:val="white"/>
        </w:rPr>
        <w:t xml:space="preserve"> лицензия на осуществление банковских операций от _</w:t>
      </w:r>
      <w:r>
        <w:rPr>
          <w:rStyle w:val="1316"/>
          <w:i/>
          <w:iCs/>
          <w:sz w:val="26"/>
          <w:szCs w:val="26"/>
          <w:highlight w:val="white"/>
        </w:rPr>
        <w:t xml:space="preserve">____ </w:t>
      </w:r>
      <w:r>
        <w:rPr>
          <w:rStyle w:val="1316"/>
          <w:sz w:val="26"/>
          <w:szCs w:val="26"/>
          <w:highlight w:val="white"/>
        </w:rPr>
        <w:t xml:space="preserve">года № </w:t>
      </w:r>
      <w:r>
        <w:rPr>
          <w:rStyle w:val="1316"/>
          <w:i/>
          <w:iCs/>
          <w:sz w:val="26"/>
          <w:szCs w:val="26"/>
          <w:highlight w:val="white"/>
        </w:rPr>
        <w:t xml:space="preserve">____ /реквизиты иных документов, подтверждающих наличие у гаранта права на выдачу независимых гарантий</w:t>
      </w:r>
      <w:r>
        <w:rPr>
          <w:rStyle w:val="1316"/>
          <w:i/>
          <w:iCs/>
          <w:sz w:val="26"/>
          <w:szCs w:val="26"/>
          <w:highlight w:val="white"/>
          <w:vertAlign w:val="superscript"/>
        </w:rPr>
        <w:footnoteReference w:id="10"/>
      </w:r>
      <w:r>
        <w:rPr>
          <w:rStyle w:val="1316"/>
          <w:i/>
          <w:iCs/>
          <w:sz w:val="26"/>
          <w:szCs w:val="26"/>
          <w:highlight w:val="white"/>
        </w:rPr>
        <w:t xml:space="preserve"> ),</w:t>
      </w:r>
      <w:r>
        <w:rPr>
          <w:rStyle w:val="1316"/>
          <w:sz w:val="26"/>
          <w:szCs w:val="26"/>
          <w:highlight w:val="white"/>
        </w:rPr>
        <w:t xml:space="preserve"> именуемое в дальнейшем «Гарант», в лице _____________________________________ (</w:t>
      </w:r>
      <w:r>
        <w:rPr>
          <w:rStyle w:val="1316"/>
          <w:i/>
          <w:iCs/>
          <w:sz w:val="26"/>
          <w:szCs w:val="26"/>
          <w:highlight w:val="white"/>
        </w:rPr>
        <w:t xml:space="preserve">полностью Ф.</w:t>
      </w:r>
      <w:r>
        <w:rPr>
          <w:rStyle w:val="1316"/>
          <w:i/>
          <w:iCs/>
          <w:sz w:val="26"/>
          <w:szCs w:val="26"/>
          <w:highlight w:val="white"/>
          <w:lang w:val="en-US"/>
        </w:rPr>
        <w:t xml:space="preserve"> </w:t>
      </w:r>
      <w:r>
        <w:rPr>
          <w:rStyle w:val="1316"/>
          <w:i/>
          <w:iCs/>
          <w:sz w:val="26"/>
          <w:szCs w:val="26"/>
          <w:highlight w:val="white"/>
        </w:rPr>
        <w:t xml:space="preserve">И.</w:t>
      </w:r>
      <w:r>
        <w:rPr>
          <w:rStyle w:val="1316"/>
          <w:i/>
          <w:iCs/>
          <w:sz w:val="26"/>
          <w:szCs w:val="26"/>
          <w:highlight w:val="white"/>
          <w:lang w:val="en-US"/>
        </w:rPr>
        <w:t xml:space="preserve"> </w:t>
      </w:r>
      <w:r>
        <w:rPr>
          <w:rStyle w:val="1316"/>
          <w:i/>
          <w:iCs/>
          <w:sz w:val="26"/>
          <w:szCs w:val="26"/>
          <w:highlight w:val="white"/>
        </w:rPr>
        <w:t xml:space="preserve">О. уполномоченного действовать от имени гаранта лица),</w:t>
      </w:r>
      <w:r>
        <w:rPr>
          <w:rStyle w:val="1316"/>
          <w:sz w:val="26"/>
          <w:szCs w:val="26"/>
          <w:highlight w:val="white"/>
        </w:rPr>
        <w:t xml:space="preserve"> действующего на основании </w:t>
      </w:r>
      <w:r>
        <w:rPr>
          <w:rStyle w:val="1316"/>
          <w:i/>
          <w:iCs/>
          <w:sz w:val="26"/>
          <w:szCs w:val="26"/>
          <w:highlight w:val="white"/>
        </w:rPr>
        <w:t xml:space="preserve">_______________ (наименование и реквизиты документа о наделении полномочиями подписанта настоящей гарантии</w:t>
      </w:r>
      <w:r>
        <w:rPr>
          <w:rStyle w:val="1316"/>
          <w:sz w:val="26"/>
          <w:szCs w:val="26"/>
          <w:highlight w:val="white"/>
        </w:rPr>
        <w:t xml:space="preserve">)</w:t>
      </w:r>
      <w:r>
        <w:rPr>
          <w:rStyle w:val="1316"/>
          <w:i/>
          <w:iCs/>
          <w:sz w:val="26"/>
          <w:szCs w:val="26"/>
          <w:highlight w:val="white"/>
        </w:rPr>
        <w:t xml:space="preserve">, </w:t>
      </w:r>
      <w:r>
        <w:rPr>
          <w:rStyle w:val="1316"/>
          <w:sz w:val="26"/>
          <w:szCs w:val="26"/>
          <w:highlight w:val="white"/>
        </w:rPr>
        <w:t xml:space="preserve">настоящим принимает на себя безусловное и безотзывное обязательство уплатить _____________________ (</w:t>
      </w:r>
      <w:r>
        <w:rPr>
          <w:rStyle w:val="1316"/>
          <w:i/>
          <w:iCs/>
          <w:sz w:val="26"/>
          <w:szCs w:val="26"/>
          <w:highlight w:val="white"/>
        </w:rPr>
        <w:t xml:space="preserve">наименование бенефициара, ОГРН и/или ИНН)</w:t>
      </w:r>
      <w:r>
        <w:rPr>
          <w:rStyle w:val="1316"/>
          <w:sz w:val="26"/>
          <w:szCs w:val="26"/>
          <w:highlight w:val="white"/>
        </w:rPr>
        <w:t xml:space="preserve">, именуемому в дальнейшем - «Бенефициар», любую сумму или суммы, не превышающие в итоге __________________ </w:t>
      </w:r>
      <w:r>
        <w:rPr>
          <w:rStyle w:val="1316"/>
          <w:i/>
          <w:iCs/>
          <w:sz w:val="26"/>
          <w:szCs w:val="26"/>
          <w:highlight w:val="white"/>
        </w:rPr>
        <w:t xml:space="preserve">(сумма цифрами и прописью),</w:t>
      </w:r>
      <w:r>
        <w:rPr>
          <w:rStyle w:val="1316"/>
          <w:sz w:val="26"/>
          <w:szCs w:val="26"/>
          <w:highlight w:val="white"/>
        </w:rPr>
        <w:t xml:space="preserve"> по получении письменного требования Бенефициара, указывающего, что ___________________ </w:t>
      </w:r>
      <w:r>
        <w:rPr>
          <w:rStyle w:val="1316"/>
          <w:i/>
          <w:iCs/>
          <w:sz w:val="26"/>
          <w:szCs w:val="26"/>
          <w:highlight w:val="white"/>
        </w:rPr>
        <w:t xml:space="preserve">(полное или сокращенное</w:t>
      </w:r>
      <w:r>
        <w:rPr>
          <w:rStyle w:val="1316"/>
          <w:sz w:val="26"/>
          <w:szCs w:val="26"/>
          <w:highlight w:val="white"/>
        </w:rPr>
        <w:t xml:space="preserve"> </w:t>
      </w:r>
      <w:r>
        <w:rPr>
          <w:rStyle w:val="1316"/>
          <w:i/>
          <w:iCs/>
          <w:sz w:val="26"/>
          <w:szCs w:val="26"/>
          <w:highlight w:val="white"/>
        </w:rPr>
        <w:t xml:space="preserve">наименование, ОГРН или ИНН )</w:t>
      </w:r>
      <w:r>
        <w:rPr>
          <w:rStyle w:val="1316"/>
          <w:sz w:val="26"/>
          <w:szCs w:val="26"/>
          <w:highlight w:val="white"/>
        </w:rPr>
        <w:t xml:space="preserve">, именуемое в дальнейшем «Принципал» не исполнил и/или исполнил ненадлежащим образом любые свои обязательства перед Бенефициаром </w:t>
      </w:r>
      <w:r>
        <w:rPr>
          <w:rStyle w:val="1316"/>
          <w:i/>
          <w:iCs/>
          <w:sz w:val="26"/>
          <w:szCs w:val="26"/>
          <w:highlight w:val="white"/>
        </w:rPr>
        <w:t xml:space="preserve">по договору, который будет заключен по результатам определения п</w:t>
      </w:r>
      <w:r>
        <w:rPr>
          <w:rStyle w:val="1316"/>
          <w:i/>
          <w:iCs/>
          <w:sz w:val="26"/>
          <w:szCs w:val="26"/>
          <w:highlight w:val="white"/>
        </w:rPr>
        <w:t xml:space="preserve">оставщика (подрядчика, исполнителя) (номер извещения в единой информационной системе в сфере закупок _______, протокол подведения итогов закупочной процедуры от ___ года (указывается дата подписания либо более поздняя из дат указанная в протоколе) №___ )*,</w:t>
      </w:r>
      <w:r>
        <w:rPr>
          <w:rStyle w:val="1316"/>
          <w:sz w:val="26"/>
          <w:szCs w:val="26"/>
          <w:highlight w:val="white"/>
        </w:rPr>
        <w:t xml:space="preserve"> без споров и возражений со стороны Гаранта, не требуя от Бенефициара доказательств или обоснований требования на определенную в настоящей независимой гарантии сумму.</w:t>
      </w:r>
      <w:r>
        <w:rPr>
          <w:i/>
          <w:iCs/>
          <w:sz w:val="26"/>
          <w:szCs w:val="26"/>
          <w:highlight w:val="white"/>
        </w:rPr>
      </w:r>
      <w:r>
        <w:rPr>
          <w:i/>
          <w:iCs/>
          <w:sz w:val="26"/>
          <w:szCs w:val="26"/>
          <w:highlight w:val="white"/>
        </w:rPr>
      </w:r>
    </w:p>
    <w:p>
      <w:pPr>
        <w:ind w:firstLine="708"/>
        <w:jc w:val="both"/>
        <w:widowControl w:val="off"/>
        <w:rPr>
          <w:i/>
          <w:iCs/>
          <w:highlight w:val="white"/>
        </w:rPr>
      </w:pPr>
      <w:r>
        <w:rPr>
          <w:rStyle w:val="1316"/>
          <w:i/>
          <w:iCs/>
          <w:highlight w:val="white"/>
        </w:rPr>
        <w:t xml:space="preserve">*Примечание: </w:t>
      </w:r>
      <w:r>
        <w:rPr>
          <w:i/>
          <w:iCs/>
          <w:highlight w:val="white"/>
        </w:rPr>
      </w:r>
      <w:r>
        <w:rPr>
          <w:i/>
          <w:iCs/>
          <w:highlight w:val="white"/>
        </w:rPr>
      </w:r>
    </w:p>
    <w:p>
      <w:pPr>
        <w:ind w:firstLine="708"/>
        <w:jc w:val="both"/>
        <w:widowControl w:val="off"/>
        <w:rPr>
          <w:i/>
          <w:iCs/>
          <w:highlight w:val="white"/>
        </w:rPr>
      </w:pPr>
      <w:r>
        <w:rPr>
          <w:rStyle w:val="1316"/>
          <w:i/>
          <w:iCs/>
          <w:highlight w:val="white"/>
        </w:rPr>
        <w:t xml:space="preserve">- в случае заключения договора на основании решения ___ (указать наименование закупочного органа бенефициара) текст, выделенный курсивом, излагается в следующей редакции:</w:t>
      </w:r>
      <w:r>
        <w:rPr>
          <w:rStyle w:val="1317"/>
          <w:highlight w:val="white"/>
        </w:rPr>
        <w:t xml:space="preserve"> «</w:t>
      </w:r>
      <w:r>
        <w:rPr>
          <w:rStyle w:val="1316"/>
          <w:i/>
          <w:iCs/>
          <w:highlight w:val="white"/>
        </w:rPr>
        <w:t xml:space="preserve">по договору, который будет заключен по результатам определения поставщика (подрядчика, исполнителя) (выписка из протокола заседания ___ (указать наименование закупочного органа бенефициара) от __ года № ____)»;</w:t>
      </w:r>
      <w:r>
        <w:rPr>
          <w:i/>
          <w:iCs/>
          <w:highlight w:val="white"/>
        </w:rPr>
      </w:r>
      <w:r>
        <w:rPr>
          <w:i/>
          <w:iCs/>
          <w:highlight w:val="white"/>
        </w:rPr>
      </w:r>
    </w:p>
    <w:p>
      <w:pPr>
        <w:ind w:firstLine="708"/>
        <w:jc w:val="both"/>
        <w:widowControl w:val="off"/>
        <w:rPr>
          <w:i/>
          <w:iCs/>
          <w:highlight w:val="white"/>
        </w:rPr>
      </w:pPr>
      <w:r>
        <w:rPr>
          <w:rStyle w:val="1316"/>
          <w:i/>
          <w:iCs/>
          <w:highlight w:val="white"/>
        </w:rPr>
        <w:t xml:space="preserve">- в случае заключения договора на основании решения иног</w:t>
      </w:r>
      <w:r>
        <w:rPr>
          <w:rStyle w:val="1316"/>
          <w:i/>
          <w:iCs/>
          <w:highlight w:val="white"/>
        </w:rPr>
        <w:t xml:space="preserve">о уполномоченного органа, текст,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(_______(указать полное наименование документа) от __ года № ____)»;</w:t>
      </w:r>
      <w:r>
        <w:rPr>
          <w:i/>
          <w:iCs/>
          <w:highlight w:val="white"/>
        </w:rPr>
      </w:r>
      <w:r>
        <w:rPr>
          <w:i/>
          <w:iCs/>
          <w:highlight w:val="white"/>
        </w:rPr>
      </w:r>
    </w:p>
    <w:p>
      <w:pPr>
        <w:ind w:firstLine="708"/>
        <w:jc w:val="both"/>
        <w:widowControl w:val="off"/>
        <w:rPr>
          <w:i/>
          <w:iCs/>
          <w:highlight w:val="white"/>
        </w:rPr>
      </w:pPr>
      <w:r>
        <w:rPr>
          <w:rStyle w:val="1316"/>
          <w:i/>
          <w:iCs/>
          <w:highlight w:val="white"/>
        </w:rPr>
        <w:t xml:space="preserve">-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 от __ года № ____.</w:t>
      </w:r>
      <w:r>
        <w:rPr>
          <w:i/>
          <w:iCs/>
          <w:highlight w:val="white"/>
        </w:rPr>
      </w:r>
      <w:r>
        <w:rPr>
          <w:i/>
          <w:iCs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316"/>
          <w:sz w:val="26"/>
          <w:szCs w:val="26"/>
          <w:highlight w:val="white"/>
        </w:rPr>
        <w:t xml:space="preserve">Ответственность Гаранта за неисполнение требования по настоящей независимой гарантии не ограничивается суммой, на которую она выдана.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316"/>
          <w:sz w:val="26"/>
          <w:szCs w:val="26"/>
          <w:highlight w:val="white"/>
        </w:rPr>
        <w:t xml:space="preserve"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316"/>
          <w:sz w:val="26"/>
          <w:szCs w:val="26"/>
          <w:highlight w:val="white"/>
        </w:rPr>
        <w:t xml:space="preserve">Гарант по получении от Бенефициара письм</w:t>
      </w:r>
      <w:r>
        <w:rPr>
          <w:rStyle w:val="1316"/>
          <w:sz w:val="26"/>
          <w:szCs w:val="26"/>
          <w:highlight w:val="white"/>
        </w:rPr>
        <w:t xml:space="preserve">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</w:t>
      </w:r>
      <w:r>
        <w:rPr>
          <w:rStyle w:val="1316"/>
          <w:sz w:val="26"/>
          <w:szCs w:val="26"/>
          <w:highlight w:val="white"/>
        </w:rPr>
        <w:t xml:space="preserve">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316"/>
          <w:sz w:val="26"/>
          <w:szCs w:val="26"/>
          <w:highlight w:val="white"/>
        </w:rPr>
        <w:t xml:space="preserve">Гарантия не может быть отозвана Гарантом. Передача права требования по настоящей гарантии не допускается.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316"/>
          <w:sz w:val="26"/>
          <w:szCs w:val="26"/>
          <w:highlight w:val="white"/>
        </w:rPr>
        <w:t xml:space="preserve">Настоящая гарантия вступает в силу с _________20___года ** и действует по _________20___года (включительно). 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316"/>
          <w:sz w:val="26"/>
          <w:szCs w:val="26"/>
          <w:highlight w:val="white"/>
        </w:rPr>
        <w:t xml:space="preserve">Письменное требование платежа должно быть направлено Гаранту</w:t>
      </w:r>
      <w:r>
        <w:rPr>
          <w:rStyle w:val="1316"/>
          <w:sz w:val="26"/>
          <w:szCs w:val="26"/>
          <w:highlight w:val="white"/>
        </w:rPr>
        <w:br/>
        <w:t xml:space="preserve">до 24 часов 00 минут __________20___ года по адресу: _________________________________ посредством почтовой связи либо передано непосредственно по адресу:_______________________. 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i/>
          <w:iCs/>
          <w:highlight w:val="white"/>
        </w:rPr>
      </w:pPr>
      <w:r>
        <w:rPr>
          <w:rStyle w:val="1316"/>
          <w:i/>
          <w:iCs/>
          <w:highlight w:val="white"/>
        </w:rPr>
        <w:t xml:space="preserve">**Примечание: в случае первоначального предоставлен</w:t>
      </w:r>
      <w:r>
        <w:rPr>
          <w:rStyle w:val="1316"/>
          <w:i/>
          <w:iCs/>
          <w:highlight w:val="white"/>
        </w:rPr>
        <w:t xml:space="preserve">ия независимой гарантии по результатам закупки - указывается дата выдачи независимой гарантии, в случае пролонгации независимой гарантии - указывается дата выдачи независимой гарантии либо дата, следующая за датой окончания предыдущей независимой гарантии.</w:t>
      </w:r>
      <w:r>
        <w:rPr>
          <w:i/>
          <w:iCs/>
          <w:highlight w:val="white"/>
        </w:rPr>
      </w:r>
      <w:r>
        <w:rPr>
          <w:i/>
          <w:iCs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316"/>
          <w:sz w:val="26"/>
          <w:szCs w:val="26"/>
          <w:highlight w:val="white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316"/>
          <w:sz w:val="26"/>
          <w:szCs w:val="26"/>
          <w:highlight w:val="white"/>
        </w:rPr>
        <w:t xml:space="preserve">Письменное согласие Бенефициар</w:t>
      </w:r>
      <w:r>
        <w:rPr>
          <w:rStyle w:val="1316"/>
          <w:sz w:val="26"/>
          <w:szCs w:val="26"/>
          <w:highlight w:val="white"/>
        </w:rPr>
        <w:t xml:space="preserve">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316"/>
          <w:sz w:val="26"/>
          <w:szCs w:val="26"/>
          <w:highlight w:val="white"/>
        </w:rPr>
        <w:t xml:space="preserve">Гарант передает сведения о Принципале, определенные ст. 4 Федерального закона от 30.12.2004</w:t>
      </w:r>
      <w:r>
        <w:rPr>
          <w:rStyle w:val="1316"/>
          <w:sz w:val="26"/>
          <w:szCs w:val="26"/>
          <w:highlight w:val="white"/>
        </w:rPr>
        <w:t xml:space="preserve">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представление, в соответствии с требованиями ч. 3.1 и ч. 4 ст. 5 указанного Закона.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316"/>
          <w:sz w:val="26"/>
          <w:szCs w:val="26"/>
          <w:highlight w:val="white"/>
        </w:rPr>
        <w:t xml:space="preserve">Действие настоящей независимой гарантии регулируется законодательством Российской Федерации. 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rStyle w:val="1316"/>
          <w:sz w:val="26"/>
          <w:szCs w:val="26"/>
          <w:highlight w:val="white"/>
        </w:rPr>
      </w:pPr>
      <w:r>
        <w:rPr>
          <w:rStyle w:val="1316"/>
          <w:sz w:val="26"/>
          <w:szCs w:val="26"/>
          <w:highlight w:val="white"/>
        </w:rPr>
        <w:t xml:space="preserve">Все споры, возникающие в связи с действительностью, толкованием или исполнением настоящей независимой гарантии, подлежат р</w:t>
      </w:r>
      <w:r>
        <w:rPr>
          <w:rStyle w:val="1316"/>
          <w:sz w:val="26"/>
          <w:szCs w:val="26"/>
          <w:highlight w:val="white"/>
        </w:rPr>
        <w:t xml:space="preserve">ассмотрению в Арбитражном суде Республики Тыва.,</w:t>
      </w:r>
      <w:r>
        <w:rPr>
          <w:rStyle w:val="1316"/>
          <w:sz w:val="26"/>
          <w:szCs w:val="26"/>
          <w:highlight w:val="white"/>
        </w:rPr>
      </w:r>
      <w:r>
        <w:rPr>
          <w:rStyle w:val="1316"/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/>
      <w:bookmarkStart w:id="274" w:name="_GoBack"/>
      <w:r/>
      <w:bookmarkEnd w:id="274"/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tbl>
      <w:tblPr>
        <w:tblW w:w="9345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>
          <w:trHeight w:val="30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316"/>
                <w:sz w:val="26"/>
                <w:szCs w:val="26"/>
                <w:highlight w:val="white"/>
              </w:rPr>
              <w:t xml:space="preserve">Представитель </w:t>
            </w:r>
            <w:r>
              <w:rPr>
                <w:rStyle w:val="1316"/>
                <w:i/>
                <w:iCs/>
                <w:sz w:val="26"/>
                <w:szCs w:val="26"/>
                <w:highlight w:val="white"/>
              </w:rPr>
              <w:t xml:space="preserve">________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316"/>
                <w:i/>
                <w:iCs/>
                <w:sz w:val="26"/>
                <w:szCs w:val="26"/>
                <w:highlight w:val="white"/>
              </w:rPr>
              <w:t xml:space="preserve">______________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316"/>
                <w:i/>
                <w:iCs/>
                <w:sz w:val="26"/>
                <w:szCs w:val="26"/>
                <w:highlight w:val="white"/>
              </w:rPr>
              <w:t xml:space="preserve">_____________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316"/>
                <w:i/>
                <w:iCs/>
                <w:sz w:val="26"/>
                <w:szCs w:val="26"/>
                <w:highlight w:val="white"/>
              </w:rPr>
              <w:t xml:space="preserve">(наименование Гаранта)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316"/>
                <w:i/>
                <w:iCs/>
                <w:sz w:val="26"/>
                <w:szCs w:val="26"/>
                <w:highlight w:val="white"/>
              </w:rPr>
              <w:t xml:space="preserve">(подпись)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316"/>
                <w:i/>
                <w:iCs/>
                <w:sz w:val="26"/>
                <w:szCs w:val="26"/>
                <w:highlight w:val="white"/>
              </w:rPr>
              <w:t xml:space="preserve">(Ф. И. О.)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jc w:val="both"/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jc w:val="center"/>
        <w:widowControl w:val="off"/>
        <w:rPr>
          <w:sz w:val="26"/>
          <w:szCs w:val="26"/>
          <w:highlight w:val="white"/>
        </w:rPr>
      </w:pPr>
      <w:r>
        <w:rPr>
          <w:rStyle w:val="1316"/>
          <w:sz w:val="26"/>
          <w:szCs w:val="26"/>
          <w:highlight w:val="white"/>
        </w:rPr>
        <w:t xml:space="preserve">                   м.п.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</w:rPr>
        <w:outlineLvl w:val="0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64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 w:clear="all"/>
        <w:t xml:space="preserve">ПРОЕКТ ДОГОВОРА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64"/>
        <w:ind w:firstLine="567"/>
        <w:jc w:val="both"/>
        <w:tabs>
          <w:tab w:val="left" w:pos="0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№ 1 к извещению о закупке.</w:t>
      </w:r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pStyle w:val="964"/>
        <w:ind w:firstLine="567"/>
        <w:jc w:val="left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 w:clear="all"/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64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ТЕХНИЧЕСКАЯ ЧАСТЬ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720"/>
        <w:jc w:val="both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В соответствии с Приложением № 2 к извещению о закупке.</w:t>
      </w:r>
      <w:r/>
    </w:p>
    <w:p>
      <w:pPr>
        <w:jc w:val="both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64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b w:val="0"/>
        </w:rPr>
        <w:br w:type="page" w:clear="all"/>
      </w:r>
      <w:r>
        <w:rPr>
          <w:rFonts w:ascii="Times New Roman" w:hAnsi="Times New Roman"/>
          <w:sz w:val="24"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64"/>
        <w:ind w:firstLine="567"/>
        <w:jc w:val="both"/>
        <w:tabs>
          <w:tab w:val="left" w:pos="0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№ 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3</w:t>
      </w:r>
      <w:r>
        <w:rPr>
          <w:rFonts w:ascii="Times New Roman" w:hAnsi="Times New Roman"/>
          <w:b w:val="0"/>
          <w:sz w:val="24"/>
          <w:szCs w:val="24"/>
        </w:rPr>
        <w:t xml:space="preserve"> к извещению о закупке.</w:t>
      </w:r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pStyle w:val="964"/>
        <w:numPr>
          <w:ilvl w:val="0"/>
          <w:numId w:val="3"/>
        </w:numPr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b w:val="0"/>
        </w:rPr>
        <w:br w:type="page" w:clear="all"/>
      </w:r>
      <w:r>
        <w:rPr>
          <w:rFonts w:ascii="Times New Roman" w:hAnsi="Times New Roman"/>
          <w:sz w:val="24"/>
          <w:szCs w:val="24"/>
        </w:rPr>
        <w:t xml:space="preserve">КРИТЕРИИ ОЦЕНКИ ЗАЯВОК УЧАСТНИКОВ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57"/>
        <w:numPr>
          <w:ilvl w:val="0"/>
          <w:numId w:val="53"/>
        </w:numPr>
        <w:contextualSpacing/>
        <w:ind w:left="0" w:firstLine="567"/>
        <w:jc w:val="both"/>
        <w:keepLines/>
        <w:spacing w:before="120" w:after="120"/>
      </w:pPr>
      <w:r>
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  <w:r/>
      <w:r/>
    </w:p>
    <w:tbl>
      <w:tblPr>
        <w:tblW w:w="8364" w:type="dxa"/>
        <w:tblInd w:w="-8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42"/>
        <w:gridCol w:w="5029"/>
        <w:gridCol w:w="2693"/>
      </w:tblGrid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143"/>
              <w:ind w:firstLine="1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 п/п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143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Критерии (подкритерии) оценки заявки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3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Весовое значение критерия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143"/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143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Ценовой критерий (рейтинг по критерию стоимости заявки)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pStyle w:val="1143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R</w:t>
            </w:r>
            <w:r>
              <w:rPr>
                <w:rFonts w:ascii="Times New Roman" w:hAnsi="Times New Roman" w:cs="Times New Roman"/>
                <w:b/>
                <w:i/>
                <w:iCs/>
                <w:vertAlign w:val="subscript"/>
                <w:lang w:val="en-US"/>
              </w:rPr>
              <w:t xml:space="preserve">si</w:t>
            </w:r>
            <w:r>
              <w:rPr>
                <w:rFonts w:ascii="Times New Roman" w:hAnsi="Times New Roman" w:cs="Times New Roman"/>
                <w:b/>
                <w:vertAlign w:val="subscript"/>
              </w:rPr>
              <w:t xml:space="preserve">,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V</w:t>
            </w:r>
            <w:r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3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0,9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143"/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143"/>
              <w:ind w:firstLine="0"/>
              <w:rPr>
                <w:rFonts w:ascii="Times New Roman" w:hAnsi="Times New Roman" w:eastAsia="Calibri" w:cs="Times New Roman"/>
                <w:b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lang w:eastAsia="en-US"/>
              </w:rPr>
              <w:t xml:space="preserve">Соответствие финансового состояния участника</w:t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</w:p>
          <w:p>
            <w:pPr>
              <w:pStyle w:val="1143"/>
              <w:ind w:firstLine="0"/>
              <w:rPr>
                <w:rFonts w:ascii="Times New Roman" w:hAnsi="Times New Roman" w:eastAsia="Calibri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R</w:t>
            </w:r>
            <w:r>
              <w:rPr>
                <w:rFonts w:ascii="Times New Roman" w:hAnsi="Times New Roman" w:cs="Times New Roman"/>
                <w:b/>
                <w:i/>
                <w:iCs/>
                <w:vertAlign w:val="subscript"/>
                <w:lang w:val="en-US"/>
              </w:rPr>
              <w:t xml:space="preserve">fi</w:t>
            </w:r>
            <w:r>
              <w:rPr>
                <w:rFonts w:ascii="Times New Roman" w:hAnsi="Times New Roman" w:cs="Times New Roman"/>
                <w:b/>
              </w:rPr>
              <w:t xml:space="preserve">,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V</w:t>
            </w:r>
            <w:r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f</w:t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3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0,1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</w:tbl>
    <w:p>
      <w:r/>
      <w:r/>
      <w:r/>
    </w:p>
    <w:p>
      <w:pPr>
        <w:pStyle w:val="1157"/>
        <w:numPr>
          <w:ilvl w:val="0"/>
          <w:numId w:val="53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</w:rPr>
      </w:pPr>
      <w:r>
        <w:rPr>
          <w:rFonts w:eastAsia="Calibri"/>
        </w:rPr>
        <w:t xml:space="preserve">Полученные расчетные значения оцен</w:t>
      </w:r>
      <w:r>
        <w:rPr>
          <w:rFonts w:eastAsia="Calibri"/>
        </w:rPr>
        <w:t xml:space="preserve">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  <w:r>
        <w:rPr>
          <w:rFonts w:eastAsia="Calibri"/>
        </w:rPr>
      </w:r>
      <w:r>
        <w:rPr>
          <w:rFonts w:eastAsia="Calibri"/>
        </w:rPr>
      </w:r>
    </w:p>
    <w:p>
      <w:pPr>
        <w:ind w:firstLine="851"/>
        <w:jc w:val="center"/>
        <w:rPr>
          <w:rFonts w:eastAsia="Calibri"/>
          <w:lang w:eastAsia="en-US"/>
        </w:rPr>
      </w:pPr>
      <w:r>
        <w:rPr>
          <w:rFonts w:eastAsia="Calibri"/>
          <w:bCs/>
          <w:lang w:val="en-US" w:eastAsia="en-US"/>
        </w:rPr>
        <w:t xml:space="preserve">R</w:t>
      </w:r>
      <w:r>
        <w:rPr>
          <w:rFonts w:eastAsia="Calibri"/>
          <w:bCs/>
          <w:vertAlign w:val="subscript"/>
          <w:lang w:val="en-US" w:eastAsia="en-US"/>
        </w:rPr>
        <w:t xml:space="preserve">i</w:t>
      </w:r>
      <w:r>
        <w:rPr>
          <w:rFonts w:eastAsia="Calibri"/>
          <w:lang w:eastAsia="en-US"/>
        </w:rPr>
        <w:t xml:space="preserve">=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s</w:t>
      </w:r>
      <w:r>
        <w:rPr>
          <w:rFonts w:eastAsia="Calibri"/>
          <w:lang w:eastAsia="en-US"/>
        </w:rPr>
        <w:t xml:space="preserve">) +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fi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f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851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 xml:space="preserve">где:</w:t>
      </w:r>
      <w:r>
        <w:rPr>
          <w:rFonts w:eastAsia="Calibri"/>
          <w:i/>
          <w:lang w:eastAsia="en-US"/>
        </w:rPr>
      </w:r>
      <w:r>
        <w:rPr>
          <w:rFonts w:eastAsia="Calibri"/>
          <w:i/>
          <w:lang w:eastAsia="en-US"/>
        </w:rPr>
      </w:r>
    </w:p>
    <w:p>
      <w:pPr>
        <w:ind w:firstLine="851"/>
        <w:rPr>
          <w:rFonts w:eastAsia="Calibri"/>
          <w:sz w:val="20"/>
          <w:szCs w:val="20"/>
          <w:lang w:eastAsia="en-US"/>
        </w:rPr>
      </w:pPr>
      <w:r>
        <w:rPr>
          <w:rFonts w:eastAsia="Calibri"/>
          <w:bCs/>
          <w:sz w:val="20"/>
          <w:szCs w:val="20"/>
          <w:lang w:eastAsia="en-US"/>
        </w:rPr>
        <w:t xml:space="preserve">Ri </w:t>
      </w:r>
      <w:r>
        <w:rPr>
          <w:rFonts w:eastAsia="Calibri"/>
          <w:sz w:val="20"/>
          <w:szCs w:val="20"/>
          <w:lang w:eastAsia="en-US"/>
        </w:rPr>
        <w:t xml:space="preserve">  - общий рейтинг предпочтительности  i-й заявки;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si</w:t>
      </w:r>
      <w:r>
        <w:rPr>
          <w:rFonts w:eastAsia="Calibri"/>
          <w:sz w:val="20"/>
          <w:szCs w:val="20"/>
          <w:lang w:val="en-US" w:eastAsia="en-US"/>
        </w:rPr>
        <w:t xml:space="preserve"> </w:t>
      </w:r>
      <w:r>
        <w:rPr>
          <w:rFonts w:eastAsia="Calibri"/>
          <w:sz w:val="20"/>
          <w:szCs w:val="20"/>
          <w:lang w:eastAsia="en-US"/>
        </w:rPr>
        <w:t xml:space="preserve">-  оценка в баллах по ценовому критерию (по критерию стоимости заявки);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fi</w:t>
      </w:r>
      <w:r>
        <w:rPr>
          <w:rFonts w:eastAsia="Calibri"/>
          <w:sz w:val="20"/>
          <w:szCs w:val="20"/>
          <w:lang w:eastAsia="en-US"/>
        </w:rPr>
        <w:t xml:space="preserve">-  оценка в баллах по критерию «соответствие финансового состояния участника»; 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widowControl w:val="off"/>
        <w:tabs>
          <w:tab w:val="left" w:pos="0" w:leader="none"/>
          <w:tab w:val="left" w:pos="1560" w:leader="none"/>
        </w:tabs>
        <w:rPr>
          <w:rFonts w:eastAsia="Calibri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V</w:t>
      </w:r>
      <w:r>
        <w:rPr>
          <w:rFonts w:eastAsia="Arial Unicode MS"/>
          <w:sz w:val="20"/>
          <w:szCs w:val="20"/>
          <w:lang w:val="en-US"/>
        </w:rPr>
        <w:t xml:space="preserve">s</w:t>
      </w:r>
      <w:r>
        <w:rPr>
          <w:rFonts w:eastAsia="Arial Unicode MS"/>
          <w:sz w:val="20"/>
          <w:szCs w:val="20"/>
        </w:rPr>
        <w:t xml:space="preserve">, </w:t>
      </w:r>
      <w:r>
        <w:rPr>
          <w:rFonts w:eastAsia="Calibri"/>
          <w:sz w:val="20"/>
          <w:szCs w:val="20"/>
          <w:lang w:val="en-US" w:eastAsia="en-US"/>
        </w:rPr>
        <w:t xml:space="preserve">V</w:t>
      </w:r>
      <w:r>
        <w:rPr>
          <w:rFonts w:eastAsia="Calibri"/>
          <w:sz w:val="20"/>
          <w:szCs w:val="20"/>
          <w:vertAlign w:val="subscript"/>
          <w:lang w:val="en-US" w:eastAsia="en-US"/>
        </w:rPr>
        <w:t xml:space="preserve">f</w:t>
      </w:r>
      <w:r>
        <w:rPr>
          <w:rFonts w:eastAsia="Arial Unicode MS"/>
          <w:sz w:val="20"/>
          <w:szCs w:val="20"/>
        </w:rPr>
        <w:t xml:space="preserve"> – весовые коэффициенты соответствующих критериев</w:t>
      </w:r>
      <w:r>
        <w:rPr>
          <w:rFonts w:eastAsia="Calibri"/>
          <w:sz w:val="20"/>
          <w:szCs w:val="20"/>
        </w:rPr>
        <w:t xml:space="preserve">.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pStyle w:val="1157"/>
        <w:numPr>
          <w:ilvl w:val="1"/>
          <w:numId w:val="53"/>
        </w:numPr>
        <w:ind w:left="0" w:firstLine="567"/>
        <w:jc w:val="both"/>
        <w:widowControl w:val="off"/>
        <w:rPr>
          <w:highlight w:val="white"/>
        </w:rPr>
      </w:pPr>
      <w:r>
        <w:t xml:space="preserve">При осуществлении расчета значения по каждому критерию Заказчик вправе осуществлять расчет с точностью</w:t>
      </w:r>
      <w:r>
        <w:rPr>
          <w:highlight w:val="white"/>
        </w:rPr>
        <w:t xml:space="preserve"> до трех знаков после запятой. Полученное значение итогового рейтинга используется для ранжирования заявок по степени предпочтительности. </w:t>
      </w:r>
      <w:r>
        <w:rPr>
          <w:highlight w:val="white"/>
        </w:rPr>
      </w:r>
      <w:r>
        <w:rPr>
          <w:highlight w:val="white"/>
        </w:rPr>
      </w:r>
    </w:p>
    <w:p>
      <w:pPr>
        <w:pStyle w:val="1157"/>
        <w:numPr>
          <w:ilvl w:val="1"/>
          <w:numId w:val="53"/>
        </w:numPr>
        <w:ind w:left="0" w:firstLine="567"/>
        <w:jc w:val="both"/>
        <w:widowControl w:val="off"/>
        <w:rPr>
          <w:highlight w:val="white"/>
        </w:rPr>
      </w:pPr>
      <w:r>
        <w:rPr>
          <w:highlight w:val="white"/>
        </w:rPr>
        <w:t xml:space="preserve">В случае участия в закупке коллективных участников данные по неценовым критериям оценки в целях осуществления оценки такой заявки суммируются.</w:t>
      </w:r>
      <w:r>
        <w:rPr>
          <w:highlight w:val="white"/>
        </w:rPr>
      </w:r>
      <w:r>
        <w:rPr>
          <w:highlight w:val="white"/>
        </w:rPr>
      </w:r>
    </w:p>
    <w:p>
      <w:pPr>
        <w:pStyle w:val="1157"/>
        <w:contextualSpacing/>
        <w:ind w:left="0"/>
        <w:jc w:val="both"/>
        <w:widowControl w:val="off"/>
        <w:rPr>
          <w:b/>
          <w:i/>
          <w:highlight w:val="white"/>
        </w:rPr>
      </w:pPr>
      <w:r>
        <w:rPr>
          <w:b/>
          <w:i/>
          <w:highlight w:val="white"/>
        </w:rPr>
      </w:r>
      <w:r>
        <w:rPr>
          <w:b/>
          <w:i/>
          <w:highlight w:val="white"/>
        </w:rPr>
      </w:r>
      <w:r>
        <w:rPr>
          <w:b/>
          <w:i/>
          <w:highlight w:val="white"/>
        </w:rPr>
      </w:r>
    </w:p>
    <w:p>
      <w:pPr>
        <w:pStyle w:val="1157"/>
        <w:numPr>
          <w:ilvl w:val="0"/>
          <w:numId w:val="53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highlight w:val="white"/>
        </w:rPr>
      </w:pPr>
      <w:r>
        <w:rPr>
          <w:rFonts w:eastAsia="Calibri"/>
          <w:highlight w:val="white"/>
        </w:rPr>
        <w:t xml:space="preserve">Расчет рейтинга (оценка) по критерию стоимости заявки (R</w:t>
      </w:r>
      <w:r>
        <w:rPr>
          <w:rFonts w:eastAsia="Calibri"/>
          <w:i/>
          <w:iCs/>
          <w:highlight w:val="white"/>
          <w:vertAlign w:val="subscript"/>
        </w:rPr>
        <w:t xml:space="preserve">si</w:t>
      </w:r>
      <w:r>
        <w:rPr>
          <w:rFonts w:eastAsia="Calibri"/>
          <w:highlight w:val="white"/>
        </w:rPr>
        <w:t xml:space="preserve">)</w:t>
      </w:r>
      <w:r>
        <w:rPr>
          <w:rFonts w:eastAsia="Calibri"/>
          <w:highlight w:val="white"/>
        </w:rPr>
      </w:r>
      <w:r>
        <w:rPr>
          <w:rFonts w:eastAsia="Calibri"/>
          <w:highlight w:val="white"/>
        </w:rPr>
      </w:r>
    </w:p>
    <w:p>
      <w:pPr>
        <w:pStyle w:val="1155"/>
        <w:ind w:firstLine="567"/>
        <w:jc w:val="both"/>
        <w:rPr>
          <w:highlight w:val="white"/>
        </w:rPr>
      </w:pPr>
      <w:r>
        <w:rPr>
          <w:highlight w:val="white"/>
        </w:rPr>
        <w:t xml:space="preserve">Оценка (рейтинг) рассчитывается как значение, равное разнице в процентах (тендерное снижение) между ценой заявки участника и объявленной начальной (максимальной) ценой договора: </w:t>
      </w:r>
      <w:r>
        <w:rPr>
          <w:highlight w:val="white"/>
        </w:rPr>
      </w:r>
      <w:r>
        <w:rPr>
          <w:highlight w:val="white"/>
        </w:rPr>
      </w:r>
    </w:p>
    <w:p>
      <w:pPr>
        <w:pStyle w:val="1155"/>
        <w:ind w:firstLine="567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1155"/>
        <w:ind w:left="710" w:firstLine="4253"/>
        <w:jc w:val="both"/>
        <w:rPr>
          <w:highlight w:val="white"/>
        </w:rPr>
      </w:pPr>
      <w:r>
        <w:rPr>
          <w:highlight w:val="white"/>
          <w:lang w:val="en-US"/>
        </w:rPr>
        <w:t xml:space="preserve">S</w:t>
      </w:r>
      <w:r>
        <w:rPr>
          <w:highlight w:val="white"/>
          <w:vertAlign w:val="subscript"/>
          <w:lang w:val="en-US"/>
        </w:rPr>
        <w:t xml:space="preserve">max</w:t>
      </w:r>
      <w:r>
        <w:rPr>
          <w:highlight w:val="white"/>
          <w:lang w:val="en-US"/>
        </w:rPr>
        <w:t xml:space="preserve"> - S</w:t>
      </w:r>
      <w:r>
        <w:rPr>
          <w:highlight w:val="white"/>
          <w:vertAlign w:val="subscript"/>
          <w:lang w:val="en-US"/>
        </w:rPr>
        <w:t xml:space="preserve">i</w:t>
      </w:r>
      <w:r>
        <w:rPr>
          <w:highlight w:val="white"/>
        </w:rPr>
      </w:r>
      <w:r>
        <w:rPr>
          <w:highlight w:val="white"/>
        </w:rPr>
      </w:r>
    </w:p>
    <w:p>
      <w:pPr>
        <w:pStyle w:val="1155"/>
        <w:ind w:firstLine="4253"/>
        <w:jc w:val="both"/>
        <w:rPr>
          <w:highlight w:val="white"/>
        </w:rPr>
      </w:pPr>
      <w:r>
        <w:rPr>
          <w:highlight w:val="white"/>
          <w:lang w:val="en-US"/>
        </w:rPr>
        <w:t xml:space="preserve">R</w:t>
      </w:r>
      <w:r>
        <w:rPr>
          <w:highlight w:val="white"/>
          <w:vertAlign w:val="subscript"/>
          <w:lang w:val="en-US"/>
        </w:rPr>
        <w:t xml:space="preserve">si</w:t>
      </w:r>
      <w:r>
        <w:rPr>
          <w:highlight w:val="white"/>
          <w:lang w:val="en-US"/>
        </w:rPr>
        <w:t xml:space="preserve">= ------------- x 100, </w:t>
      </w:r>
      <w:r>
        <w:rPr>
          <w:highlight w:val="white"/>
        </w:rPr>
      </w:r>
      <w:r>
        <w:rPr>
          <w:highlight w:val="white"/>
        </w:rPr>
      </w:r>
    </w:p>
    <w:p>
      <w:pPr>
        <w:pStyle w:val="1155"/>
        <w:ind w:left="710" w:firstLine="4253"/>
        <w:jc w:val="both"/>
        <w:rPr>
          <w:highlight w:val="white"/>
        </w:rPr>
      </w:pPr>
      <w:r>
        <w:rPr>
          <w:highlight w:val="white"/>
          <w:lang w:val="en-US"/>
        </w:rPr>
        <w:t xml:space="preserve">S</w:t>
      </w:r>
      <w:r>
        <w:rPr>
          <w:highlight w:val="white"/>
          <w:vertAlign w:val="subscript"/>
          <w:lang w:val="en-US"/>
        </w:rPr>
        <w:t xml:space="preserve">max</w:t>
      </w:r>
      <w:r>
        <w:rPr>
          <w:highlight w:val="white"/>
        </w:rPr>
      </w:r>
      <w:r>
        <w:rPr>
          <w:highlight w:val="white"/>
        </w:rPr>
      </w:r>
    </w:p>
    <w:p>
      <w:pPr>
        <w:pStyle w:val="1155"/>
        <w:ind w:firstLine="567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851"/>
        <w:rPr>
          <w:rFonts w:eastAsia="Calibri"/>
          <w:i/>
          <w:highlight w:val="white"/>
        </w:rPr>
      </w:pPr>
      <w:r>
        <w:rPr>
          <w:rFonts w:eastAsia="Calibri"/>
          <w:i/>
          <w:highlight w:val="white"/>
          <w:lang w:eastAsia="en-US"/>
        </w:rPr>
        <w:t xml:space="preserve">где</w:t>
      </w:r>
      <w:r>
        <w:rPr>
          <w:rFonts w:eastAsia="Calibri"/>
          <w:i/>
          <w:highlight w:val="white"/>
          <w:lang w:val="en-US" w:eastAsia="en-US"/>
        </w:rPr>
        <w:t xml:space="preserve">: </w:t>
      </w:r>
      <w:r>
        <w:rPr>
          <w:rFonts w:eastAsia="Calibri"/>
          <w:i/>
          <w:highlight w:val="white"/>
        </w:rPr>
      </w:r>
      <w:r>
        <w:rPr>
          <w:rFonts w:eastAsia="Calibri"/>
          <w:i/>
          <w:highlight w:val="white"/>
        </w:rPr>
      </w:r>
    </w:p>
    <w:p>
      <w:pPr>
        <w:pStyle w:val="1155"/>
        <w:ind w:firstLine="851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R</w:t>
      </w:r>
      <w:r>
        <w:rPr>
          <w:sz w:val="20"/>
          <w:szCs w:val="20"/>
          <w:highlight w:val="white"/>
          <w:vertAlign w:val="subscript"/>
        </w:rPr>
        <w:t xml:space="preserve">si</w:t>
      </w:r>
      <w:r>
        <w:rPr>
          <w:sz w:val="20"/>
          <w:szCs w:val="20"/>
          <w:highlight w:val="white"/>
        </w:rPr>
        <w:t xml:space="preserve"> - оценка (рейтинг) i-й заявки по критерию стоимости;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55"/>
        <w:ind w:firstLine="851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S</w:t>
      </w:r>
      <w:r>
        <w:rPr>
          <w:sz w:val="20"/>
          <w:szCs w:val="20"/>
          <w:highlight w:val="white"/>
          <w:vertAlign w:val="subscript"/>
        </w:rPr>
        <w:t xml:space="preserve">max</w:t>
      </w:r>
      <w:r>
        <w:rPr>
          <w:sz w:val="20"/>
          <w:szCs w:val="20"/>
          <w:highlight w:val="white"/>
        </w:rPr>
        <w:t xml:space="preserve"> - объявленная начальная (максимальная) цена договора;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55"/>
        <w:ind w:firstLine="851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S</w:t>
      </w:r>
      <w:r>
        <w:rPr>
          <w:sz w:val="20"/>
          <w:szCs w:val="20"/>
          <w:highlight w:val="white"/>
          <w:vertAlign w:val="subscript"/>
        </w:rPr>
        <w:t xml:space="preserve">i</w:t>
      </w:r>
      <w:r>
        <w:rPr>
          <w:sz w:val="20"/>
          <w:szCs w:val="20"/>
          <w:highlight w:val="white"/>
        </w:rPr>
        <w:t xml:space="preserve"> - стоимость заявки i-го участника.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55"/>
        <w:ind w:firstLine="567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1155"/>
        <w:ind w:firstLine="567"/>
        <w:jc w:val="both"/>
        <w:rPr>
          <w:highlight w:val="white"/>
        </w:rPr>
      </w:pPr>
      <w:r>
        <w:rPr>
          <w:highlight w:val="white"/>
        </w:rPr>
        <w:t xml:space="preserve">Для целей оценки заявок по ценовому критерию применяются </w:t>
      </w:r>
      <w:r>
        <w:rPr>
          <w:highlight w:val="white"/>
        </w:rPr>
        <w:t xml:space="preserve">начальная (максимальная) цена договора</w:t>
      </w:r>
      <w:r>
        <w:rPr>
          <w:highlight w:val="white"/>
        </w:rPr>
        <w:t xml:space="preserve"> и ценовые предложения участников закупки </w:t>
      </w:r>
      <w:r>
        <w:rPr>
          <w:highlight w:val="white"/>
        </w:rPr>
        <w:t xml:space="preserve">без учета</w:t>
      </w:r>
      <w:r>
        <w:rPr>
          <w:highlight w:val="white"/>
        </w:rPr>
        <w:t xml:space="preserve"> НДС.</w:t>
      </w:r>
      <w:r>
        <w:rPr>
          <w:highlight w:val="white"/>
        </w:rPr>
      </w:r>
      <w:r>
        <w:rPr>
          <w:highlight w:val="white"/>
        </w:rPr>
      </w:r>
    </w:p>
    <w:p>
      <w:pPr>
        <w:pStyle w:val="1155"/>
        <w:ind w:firstLine="567"/>
        <w:jc w:val="both"/>
        <w:rPr>
          <w:highlight w:val="white"/>
        </w:rPr>
      </w:pPr>
      <w:r>
        <w:rPr>
          <w:highlight w:val="white"/>
        </w:rPr>
        <w:t xml:space="preserve">Полученное значение R</w:t>
      </w:r>
      <w:r>
        <w:rPr>
          <w:highlight w:val="white"/>
          <w:vertAlign w:val="subscript"/>
        </w:rPr>
        <w:t xml:space="preserve">si </w:t>
      </w:r>
      <w:r>
        <w:rPr>
          <w:highlight w:val="white"/>
        </w:rPr>
        <w:t xml:space="preserve">является балльной оценкой по ценовому критерию и учитывается при расчете итогового рейтинга заявки участника, с учетом весового коэффициента. </w:t>
      </w:r>
      <w:r>
        <w:rPr>
          <w:highlight w:val="white"/>
        </w:rPr>
      </w:r>
      <w:r>
        <w:rPr>
          <w:highlight w:val="white"/>
        </w:rPr>
      </w:r>
    </w:p>
    <w:p>
      <w:pPr>
        <w:pStyle w:val="1155"/>
        <w:ind w:firstLine="567"/>
        <w:jc w:val="both"/>
        <w:rPr>
          <w:color w:val="auto"/>
          <w:highlight w:val="white"/>
        </w:rPr>
      </w:pPr>
      <w:r>
        <w:rPr>
          <w:highlight w:val="white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</w:t>
      </w:r>
      <w:r>
        <w:rPr>
          <w:highlight w:val="white"/>
        </w:rPr>
        <w:t xml:space="preserve">ущество,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</w:t>
      </w:r>
      <w:r>
        <w:rPr>
          <w:highlight w:val="white"/>
        </w:rPr>
        <w:t xml:space="preserve">предлагающим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</w:t>
      </w:r>
      <w:r>
        <w:rPr>
          <w:highlight w:val="white"/>
        </w:rPr>
        <w:t xml:space="preserve">а и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</w:t>
      </w:r>
      <w:r>
        <w:rPr>
          <w:color w:val="auto"/>
          <w:highlight w:val="white"/>
        </w:rPr>
        <w:t xml:space="preserve">ия.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ind w:firstLine="567"/>
        <w:tabs>
          <w:tab w:val="left" w:pos="1701" w:leader="none"/>
        </w:tabs>
        <w:rPr>
          <w:rFonts w:eastAsia="Calibri"/>
          <w:highlight w:val="white"/>
        </w:rPr>
      </w:pPr>
      <w:r>
        <w:rPr>
          <w:rFonts w:eastAsia="Calibri"/>
          <w:highlight w:val="white"/>
        </w:rPr>
      </w:r>
      <w:r>
        <w:rPr>
          <w:rFonts w:eastAsia="Calibri"/>
          <w:highlight w:val="white"/>
        </w:rPr>
      </w:r>
      <w:r>
        <w:rPr>
          <w:rFonts w:eastAsia="Calibri"/>
          <w:highlight w:val="white"/>
        </w:rPr>
      </w:r>
    </w:p>
    <w:p>
      <w:pPr>
        <w:pStyle w:val="1157"/>
        <w:numPr>
          <w:ilvl w:val="0"/>
          <w:numId w:val="53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</w:rPr>
      </w:pPr>
      <w:r>
        <w:rPr>
          <w:rFonts w:eastAsia="Calibri"/>
        </w:rPr>
        <w:t xml:space="preserve">Расчет по критерию «Соответствие финансового состояния участника» (R</w:t>
      </w:r>
      <w:r>
        <w:rPr>
          <w:rFonts w:eastAsia="Calibri"/>
          <w:i/>
          <w:iCs/>
          <w:vertAlign w:val="subscript"/>
        </w:rPr>
        <w:t xml:space="preserve">fi</w:t>
      </w:r>
      <w:r>
        <w:rPr>
          <w:rFonts w:eastAsia="Calibri"/>
        </w:rPr>
        <w:t xml:space="preserve">)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963"/>
        <w:ind w:firstLine="560"/>
        <w:jc w:val="both"/>
        <w:rPr>
          <w:rFonts w:eastAsia="Calibri"/>
        </w:rPr>
      </w:pPr>
      <w:r>
        <w:rPr>
          <w:rFonts w:eastAsia="Calibri"/>
        </w:rPr>
        <w:t xml:space="preserve">Расчет по критерию «</w:t>
      </w:r>
      <w:r>
        <w:rPr>
          <w:rFonts w:eastAsia="Calibri"/>
          <w:lang w:eastAsia="en-US"/>
        </w:rPr>
        <w:t xml:space="preserve">Соответствие финансового состояния участника» основан на оценке показателей финансовой устойчивости участника, в соответ</w:t>
      </w:r>
      <w:r>
        <w:t xml:space="preserve">ствии с приведенной Методикой оценки</w:t>
      </w:r>
      <w:r>
        <w:rPr>
          <w:rFonts w:eastAsia="Calibri"/>
          <w:bCs/>
          <w:vertAlign w:val="superscript"/>
          <w:lang w:eastAsia="ar-SA"/>
        </w:rPr>
        <w:t xml:space="preserve">1</w:t>
      </w:r>
      <w:r>
        <w:t xml:space="preserve">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157"/>
        <w:ind w:left="0" w:firstLine="560"/>
        <w:spacing w:before="120"/>
        <w:tabs>
          <w:tab w:val="left" w:pos="1701" w:leader="none"/>
        </w:tabs>
        <w:rPr>
          <w:rFonts w:eastAsia="Calibri"/>
        </w:rPr>
      </w:pPr>
      <w:r>
        <w:rPr>
          <w:rFonts w:eastAsia="Calibri"/>
        </w:rPr>
        <w:t xml:space="preserve">Оценка производится по установленной шкале:</w:t>
      </w:r>
      <w:r>
        <w:rPr>
          <w:rFonts w:eastAsia="Calibri"/>
        </w:rPr>
      </w:r>
      <w:r>
        <w:rPr>
          <w:rFonts w:eastAsia="Calibri"/>
        </w:rPr>
      </w:r>
    </w:p>
    <w:tbl>
      <w:tblPr>
        <w:tblW w:w="3107" w:type="pct"/>
        <w:jc w:val="center"/>
        <w:tblBorders>
          <w:top w:val="single" w:color="000000" w:sz="24" w:space="0"/>
          <w:left w:val="single" w:color="000000" w:sz="24" w:space="0"/>
          <w:bottom w:val="single" w:color="000000" w:sz="24" w:space="0"/>
          <w:right w:val="single" w:color="000000" w:sz="24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1780"/>
        <w:gridCol w:w="4432"/>
      </w:tblGrid>
      <w:tr>
        <w:tblPrEx/>
        <w:trPr>
          <w:jc w:val="center"/>
          <w:trHeight w:val="608"/>
          <w:tblHeader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Оценка, баллов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Результаты оценки показателей финансовой устойчивости участника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0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Ни один из показателей (СЧА и КСВ) не соответствует требованиям Методики оценки</w:t>
            </w:r>
            <w:r>
              <w:rPr>
                <w:bCs/>
                <w:color w:val="ff0000"/>
                <w:sz w:val="20"/>
              </w:rPr>
            </w:r>
            <w:r>
              <w:rPr>
                <w:bCs/>
                <w:color w:val="ff0000"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5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Только один показатель (СЧА или КСВ) соответствует требованиям Методики оценки</w:t>
            </w:r>
            <w:r>
              <w:rPr>
                <w:bCs/>
                <w:color w:val="ff0000"/>
                <w:sz w:val="20"/>
              </w:rPr>
            </w:r>
            <w:r>
              <w:rPr>
                <w:bCs/>
                <w:color w:val="ff0000"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10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Все показатели (СЧА и КСВ) соответствуют требованиям Методики оценки</w:t>
            </w:r>
            <w:r>
              <w:rPr>
                <w:bCs/>
                <w:color w:val="ff0000"/>
                <w:sz w:val="20"/>
              </w:rPr>
            </w:r>
            <w:r>
              <w:rPr>
                <w:bCs/>
                <w:color w:val="ff0000"/>
                <w:sz w:val="20"/>
              </w:rPr>
            </w:r>
          </w:p>
        </w:tc>
      </w:tr>
    </w:tbl>
    <w:p>
      <w:pPr>
        <w:pStyle w:val="1157"/>
        <w:contextualSpacing/>
        <w:ind w:left="567" w:right="159"/>
        <w:jc w:val="both"/>
        <w:spacing w:after="120"/>
        <w:shd w:val="clear" w:color="auto" w:fill="ffffff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ind w:right="34" w:firstLine="709"/>
        <w:jc w:val="both"/>
        <w:widowControl w:val="off"/>
        <w:tabs>
          <w:tab w:val="left" w:pos="1700" w:leader="none"/>
        </w:tabs>
        <w:rPr>
          <w:i/>
          <w:sz w:val="20"/>
          <w:szCs w:val="20"/>
        </w:rPr>
      </w:pPr>
      <w:r>
        <w:rPr>
          <w:rFonts w:eastAsia="Calibri"/>
          <w:b/>
          <w:bCs/>
          <w:i/>
          <w:sz w:val="20"/>
          <w:szCs w:val="20"/>
          <w:vertAlign w:val="superscript"/>
          <w:lang w:eastAsia="ar-SA"/>
        </w:rPr>
        <w:t xml:space="preserve">1</w:t>
      </w:r>
      <w:r>
        <w:rPr>
          <w:rFonts w:eastAsia="Calibri"/>
          <w:b/>
          <w:bCs/>
          <w:i/>
          <w:sz w:val="20"/>
          <w:szCs w:val="20"/>
          <w:lang w:eastAsia="ar-SA"/>
        </w:rPr>
        <w:t xml:space="preserve">Методика оценки финансовой устойчивости участников закупки</w:t>
      </w:r>
      <w:r>
        <w:rPr>
          <w:rFonts w:eastAsia="Calibri"/>
          <w:bCs/>
          <w:i/>
          <w:sz w:val="20"/>
          <w:szCs w:val="20"/>
          <w:lang w:eastAsia="ar-SA"/>
        </w:rPr>
        <w:t xml:space="preserve">: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Методика основана на оценке показателей финансовой устойчивости участника. Для анализа финансового состояния участника используются данные, содержащиеся в бухгалтерском балансе и отчете о финансовых результатах: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720"/>
        <w:jc w:val="both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 xml:space="preserve">По форме Бухгалтерский баланс </w:t>
      </w: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Стр. 1600 </w:t>
      </w:r>
      <w:r>
        <w:rPr>
          <w:sz w:val="20"/>
          <w:szCs w:val="20"/>
        </w:rPr>
        <w:t xml:space="preserve">– итоговое значение по «Активу» баланса, указывается на начало и окончание отчетного периода.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2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Стр. 1400</w:t>
      </w:r>
      <w:r>
        <w:rPr>
          <w:sz w:val="20"/>
          <w:szCs w:val="20"/>
        </w:rPr>
        <w:t xml:space="preserve"> – итоговое значение по разделу I</w:t>
      </w:r>
      <w:r>
        <w:rPr>
          <w:sz w:val="20"/>
          <w:szCs w:val="20"/>
          <w:lang w:val="en-US"/>
        </w:rPr>
        <w:t xml:space="preserve">V</w:t>
      </w:r>
      <w:r>
        <w:rPr>
          <w:sz w:val="20"/>
          <w:szCs w:val="20"/>
        </w:rPr>
        <w:t xml:space="preserve"> «Долгосрочные обязательства» бухгалтерского баланса, указывается на начало и окончание отчетного периода.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20"/>
        <w:jc w:val="both"/>
        <w:tabs>
          <w:tab w:val="left" w:pos="540" w:leader="none"/>
          <w:tab w:val="left" w:pos="720" w:leader="none"/>
          <w:tab w:val="left" w:pos="1080" w:leader="none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Стр. 1500</w:t>
      </w:r>
      <w:r>
        <w:rPr>
          <w:sz w:val="20"/>
          <w:szCs w:val="20"/>
        </w:rPr>
        <w:t xml:space="preserve"> – итоговое значение по разделу </w:t>
      </w:r>
      <w:r>
        <w:rPr>
          <w:sz w:val="20"/>
          <w:szCs w:val="20"/>
          <w:lang w:val="en-US"/>
        </w:rPr>
        <w:t xml:space="preserve">V</w:t>
      </w:r>
      <w:r>
        <w:rPr>
          <w:sz w:val="20"/>
          <w:szCs w:val="20"/>
        </w:rPr>
        <w:t xml:space="preserve"> «Краткосрочные обязательства» бухгалтерского баланса, указывается на начало и окончание отчетного периода.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jc w:val="both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jc w:val="both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 xml:space="preserve">По форме Отчет о финансовых результатах</w:t>
      </w: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Стр. 2110 – </w:t>
      </w:r>
      <w:r>
        <w:rPr>
          <w:sz w:val="20"/>
          <w:szCs w:val="20"/>
        </w:rPr>
        <w:t xml:space="preserve">Выручка (нетто) от продажи товаров, продукции, работ, услуг (за минусом налога на добавленную стоимость, акцизов и аналогичных обязательных платежей), указывается суммой выручки по итогам отчетного года и по результатам отчетного периода.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jc w:val="both"/>
        <w:rPr>
          <w:rFonts w:eastAsia="Arial Unicode MS"/>
          <w:b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Методика оценки</w:t>
      </w:r>
      <w:r>
        <w:rPr>
          <w:rFonts w:eastAsia="Arial Unicode MS"/>
          <w:b/>
          <w:sz w:val="20"/>
          <w:szCs w:val="20"/>
        </w:rPr>
      </w:r>
      <w:r>
        <w:rPr>
          <w:rFonts w:eastAsia="Arial Unicode MS"/>
          <w:b/>
          <w:sz w:val="20"/>
          <w:szCs w:val="20"/>
        </w:rPr>
      </w:r>
    </w:p>
    <w:p>
      <w:pPr>
        <w:ind w:firstLine="720"/>
        <w:jc w:val="both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Для общей оценки финансовой устойчивости участника используются основные показатели его деятельности, указывающие на финансовое состояние участника. </w:t>
      </w:r>
      <w:r>
        <w:rPr>
          <w:rFonts w:eastAsia="Arial Unicode MS"/>
          <w:sz w:val="20"/>
          <w:szCs w:val="20"/>
        </w:rPr>
      </w:r>
      <w:r>
        <w:rPr>
          <w:rFonts w:eastAsia="Arial Unicode MS"/>
          <w:sz w:val="20"/>
          <w:szCs w:val="20"/>
        </w:rPr>
      </w:r>
    </w:p>
    <w:p>
      <w:pPr>
        <w:ind w:firstLine="720"/>
        <w:jc w:val="both"/>
        <w:rPr>
          <w:rFonts w:eastAsia="Arial Unicode MS"/>
          <w:b/>
          <w:sz w:val="20"/>
          <w:szCs w:val="20"/>
          <w:u w:val="single"/>
        </w:rPr>
      </w:pPr>
      <w:r>
        <w:rPr>
          <w:rFonts w:eastAsia="Arial Unicode MS"/>
          <w:b/>
          <w:sz w:val="20"/>
          <w:szCs w:val="20"/>
          <w:u w:val="single"/>
        </w:rPr>
      </w:r>
      <w:r>
        <w:rPr>
          <w:rFonts w:eastAsia="Arial Unicode MS"/>
          <w:b/>
          <w:sz w:val="20"/>
          <w:szCs w:val="20"/>
          <w:u w:val="single"/>
        </w:rPr>
      </w:r>
      <w:r>
        <w:rPr>
          <w:rFonts w:eastAsia="Arial Unicode MS"/>
          <w:b/>
          <w:sz w:val="20"/>
          <w:szCs w:val="20"/>
          <w:u w:val="single"/>
        </w:rPr>
      </w:r>
    </w:p>
    <w:p>
      <w:pPr>
        <w:numPr>
          <w:ilvl w:val="1"/>
          <w:numId w:val="54"/>
        </w:numPr>
        <w:ind w:left="0" w:firstLine="709"/>
        <w:jc w:val="both"/>
        <w:tabs>
          <w:tab w:val="clear" w:pos="576" w:leader="none"/>
          <w:tab w:val="left" w:pos="1080" w:leader="none"/>
        </w:tabs>
        <w:rPr>
          <w:rFonts w:eastAsia="Arial Unicode MS"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Стоимость чистых активов (СЧА)</w:t>
      </w:r>
      <w:r>
        <w:rPr>
          <w:rFonts w:eastAsia="Arial Unicode MS"/>
          <w:sz w:val="20"/>
          <w:szCs w:val="20"/>
        </w:rPr>
        <w:t xml:space="preserve">, рассчитывается по состоянию на конец рассматриваемого отчетного периода на основании данных бухгалтерского баланса (Форма №1) по следующей формуле:</w:t>
      </w:r>
      <w:r>
        <w:rPr>
          <w:rFonts w:eastAsia="Arial Unicode MS"/>
          <w:sz w:val="20"/>
          <w:szCs w:val="20"/>
        </w:rPr>
      </w:r>
      <w:r>
        <w:rPr>
          <w:rFonts w:eastAsia="Arial Unicode MS"/>
          <w:sz w:val="20"/>
          <w:szCs w:val="20"/>
        </w:rPr>
      </w:r>
    </w:p>
    <w:p>
      <w:pPr>
        <w:ind w:firstLine="720"/>
        <w:jc w:val="both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СЧА= стр.1600-стр.1400-стр.1500,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jc w:val="both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при этом в расче</w:t>
      </w:r>
      <w:r>
        <w:rPr>
          <w:sz w:val="20"/>
          <w:szCs w:val="20"/>
        </w:rPr>
        <w:t xml:space="preserve">т принимается стоимость фактически ликвидных активов (активы имеющие рыночную стоимость не ниже балансовой). При необходимости могут быть запрошены расшифровки отдельных показателей отчетности участника. Основываясь на анализе представленной участником инф</w:t>
      </w:r>
      <w:r>
        <w:rPr>
          <w:sz w:val="20"/>
          <w:szCs w:val="20"/>
        </w:rPr>
        <w:t xml:space="preserve">ормации, а также информации из открытых источников, Заказчик/Организатор оставляет за собой право производить корректировки соответствующих показателей отчетности участника, используемых в формуле,  с целью определения величины ликвидных активов участника.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jc w:val="both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Показатель СЧА должен иметь значение &gt;0.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1"/>
          <w:numId w:val="52"/>
        </w:numPr>
        <w:ind w:left="0" w:firstLine="720"/>
        <w:jc w:val="both"/>
        <w:tabs>
          <w:tab w:val="num" w:pos="360" w:leader="none"/>
          <w:tab w:val="clear" w:pos="576" w:leader="none"/>
          <w:tab w:val="left" w:pos="1080" w:leader="none"/>
        </w:tabs>
        <w:rPr>
          <w:rFonts w:eastAsia="Arial Unicode MS"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Коэффициент</w:t>
      </w:r>
      <w:r>
        <w:rPr>
          <w:b/>
          <w:sz w:val="20"/>
          <w:szCs w:val="20"/>
        </w:rPr>
        <w:t xml:space="preserve"> соизмеримости (КСВ), </w:t>
      </w:r>
      <w:r>
        <w:rPr>
          <w:sz w:val="20"/>
          <w:szCs w:val="20"/>
        </w:rPr>
        <w:t xml:space="preserve">характеризует соизмеримость начальной (максимальной) цены договора с объемом годовой выручки от основной деятельности, рассчитывается </w:t>
      </w:r>
      <w:r>
        <w:rPr>
          <w:rFonts w:eastAsia="Arial Unicode MS"/>
          <w:sz w:val="20"/>
          <w:szCs w:val="20"/>
        </w:rPr>
        <w:t xml:space="preserve">на основании данных отчета о финансовых результатах по следующей формуле:</w:t>
      </w:r>
      <w:r>
        <w:rPr>
          <w:rFonts w:eastAsia="Arial Unicode MS"/>
          <w:sz w:val="20"/>
          <w:szCs w:val="20"/>
        </w:rPr>
      </w:r>
      <w:r>
        <w:rPr>
          <w:rFonts w:eastAsia="Arial Unicode MS"/>
          <w:sz w:val="20"/>
          <w:szCs w:val="20"/>
        </w:rPr>
      </w:r>
    </w:p>
    <w:p>
      <w:pPr>
        <w:ind w:firstLine="720"/>
        <w:jc w:val="right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КСВ=</w:t>
      </w:r>
      <w:r>
        <w:rPr>
          <w:position w:val="-24"/>
          <w:sz w:val="20"/>
          <w:szCs w:val="20"/>
        </w:rPr>
        <w:object w:dxaOrig="285" w:dyaOrig="60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14.25pt;height:30.00pt;mso-wrap-distance-left:0.00pt;mso-wrap-distance-top:0.00pt;mso-wrap-distance-right:0.00pt;mso-wrap-distance-bottom:0.00pt;" filled="f" stroked="f">
            <v:path textboxrect="0,0,0,0"/>
            <v:imagedata r:id="rId23" o:title=""/>
          </v:shape>
          <o:OLEObject DrawAspect="Content" r:id="rId24" ObjectID="_1525040" ProgID="Equation.3" ShapeID="_x0000_i0" Type="Embed"/>
        </w:object>
      </w:r>
      <w:r>
        <w:rPr>
          <w:sz w:val="20"/>
          <w:szCs w:val="20"/>
        </w:rPr>
        <w:t xml:space="preserve">: </w:t>
      </w:r>
      <w:r>
        <w:rPr>
          <w:position w:val="-24"/>
          <w:sz w:val="20"/>
          <w:szCs w:val="20"/>
        </w:rPr>
        <w:object w:dxaOrig="285" w:dyaOrig="60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" o:spid="_x0000_s1" type="#_x0000_t75" style="width:14.25pt;height:30.00pt;mso-wrap-distance-left:0.00pt;mso-wrap-distance-top:0.00pt;mso-wrap-distance-right:0.00pt;mso-wrap-distance-bottom:0.00pt;" filled="f" stroked="f">
            <v:path textboxrect="0,0,0,0"/>
            <v:imagedata r:id="rId25" o:title=""/>
          </v:shape>
          <o:OLEObject DrawAspect="Content" r:id="rId26" ObjectID="_1525041" ProgID="Equation.3" ShapeID="_x0000_i1" Type="Embed"/>
        </w:objec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где V – сумма показателей выручки за последний завершенный период (год);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rPr>
          <w:rFonts w:eastAsia="Calibri"/>
          <w:sz w:val="20"/>
          <w:szCs w:val="20"/>
        </w:rPr>
      </w:pPr>
      <w:r>
        <w:rPr>
          <w:sz w:val="20"/>
          <w:szCs w:val="20"/>
        </w:rPr>
        <w:t xml:space="preserve">Р – п</w:t>
      </w:r>
      <w:r>
        <w:rPr>
          <w:rFonts w:eastAsia="Calibri"/>
          <w:sz w:val="20"/>
          <w:szCs w:val="20"/>
        </w:rPr>
        <w:t xml:space="preserve">ериод выполнения обязательств по договору (в месяцах);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ind w:firstLine="72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В – количество месяцев в периоде, в котором сформирован показатель V;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ind w:firstLine="72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S – </w:t>
      </w:r>
      <w:r>
        <w:rPr>
          <w:sz w:val="20"/>
          <w:szCs w:val="20"/>
        </w:rPr>
        <w:t xml:space="preserve">начальная (максимальная) цена договора</w:t>
      </w:r>
      <w:r>
        <w:rPr>
          <w:rFonts w:eastAsia="Calibri"/>
          <w:sz w:val="20"/>
          <w:szCs w:val="20"/>
        </w:rPr>
        <w:t xml:space="preserve">.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ind w:firstLine="72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Показатель КСВ должен иметь значение </w:t>
      </w:r>
      <w:r>
        <w:rPr>
          <w:position w:val="-6"/>
          <w:sz w:val="20"/>
          <w:szCs w:val="20"/>
        </w:rPr>
        <w:object w:dxaOrig="495" w:dyaOrig="28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" o:spid="_x0000_s2" type="#_x0000_t75" style="width:24.75pt;height:14.25pt;mso-wrap-distance-left:0.00pt;mso-wrap-distance-top:0.00pt;mso-wrap-distance-right:0.00pt;mso-wrap-distance-bottom:0.00pt;" filled="f" stroked="f">
            <v:path textboxrect="0,0,0,0"/>
            <v:imagedata r:id="rId27" o:title=""/>
          </v:shape>
          <o:OLEObject DrawAspect="Content" r:id="rId28" ObjectID="_1525042" ProgID="Equation.3" ShapeID="_x0000_i2" Type="Embed"/>
        </w:objec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r/>
    </w:p>
    <w:sectPr>
      <w:footnotePr/>
      <w:endnotePr/>
      <w:type w:val="nextPage"/>
      <w:pgSz w:w="11906" w:h="16838" w:orient="portrait"/>
      <w:pgMar w:top="851" w:right="850" w:bottom="1134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(WT)">
    <w:panose1 w:val="020B06040202020202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ourier">
    <w:panose1 w:val="02060409020205020404"/>
  </w:font>
  <w:font w:name="MS Mincho">
    <w:panose1 w:val="02020503050405090304"/>
  </w:font>
  <w:font w:name="Tahoma">
    <w:panose1 w:val="020B0604030504040204"/>
  </w:font>
  <w:font w:name="TimesDL">
    <w:panose1 w:val="02020603050405020304"/>
  </w:font>
  <w:font w:name="Verdana">
    <w:panose1 w:val="020B0604030504040204"/>
  </w:font>
  <w:font w:name="Arial Narrow">
    <w:panose1 w:val="020B0606020202030204"/>
  </w:font>
  <w:font w:name="Times New Roman">
    <w:panose1 w:val="02020603050405020304"/>
  </w:font>
  <w:font w:name="Cambria">
    <w:panose1 w:val="02040503050406030204"/>
  </w:font>
  <w:font w:name="Calibri Light">
    <w:panose1 w:val="020F0302020204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4"/>
      <w:rPr>
        <w:rStyle w:val="1130"/>
      </w:rPr>
      <w:framePr w:wrap="around" w:vAnchor="text" w:hAnchor="margin" w:xAlign="right" w:y="1"/>
    </w:pPr>
    <w:r>
      <w:rPr>
        <w:rStyle w:val="1130"/>
      </w:rPr>
      <w:fldChar w:fldCharType="begin"/>
    </w:r>
    <w:r>
      <w:rPr>
        <w:rStyle w:val="1130"/>
      </w:rPr>
      <w:instrText xml:space="preserve">PAGE  </w:instrText>
    </w:r>
    <w:r>
      <w:rPr>
        <w:rStyle w:val="1130"/>
      </w:rPr>
      <w:fldChar w:fldCharType="separate"/>
    </w:r>
    <w:r>
      <w:rPr>
        <w:rStyle w:val="1130"/>
      </w:rPr>
      <w:t xml:space="preserve">24</w:t>
    </w:r>
    <w:r>
      <w:rPr>
        <w:rStyle w:val="1130"/>
      </w:rPr>
      <w:fldChar w:fldCharType="end"/>
    </w:r>
    <w:r>
      <w:rPr>
        <w:rStyle w:val="1130"/>
      </w:rPr>
    </w:r>
    <w:r>
      <w:rPr>
        <w:rStyle w:val="1130"/>
      </w:rPr>
    </w:r>
  </w:p>
  <w:p>
    <w:pPr>
      <w:pStyle w:val="974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4"/>
      <w:rPr>
        <w:rStyle w:val="1130"/>
      </w:rPr>
      <w:framePr w:wrap="around" w:vAnchor="text" w:hAnchor="margin" w:xAlign="right" w:y="1"/>
    </w:pPr>
    <w:r>
      <w:rPr>
        <w:rStyle w:val="1130"/>
      </w:rPr>
      <w:fldChar w:fldCharType="begin"/>
    </w:r>
    <w:r>
      <w:rPr>
        <w:rStyle w:val="1130"/>
      </w:rPr>
      <w:instrText xml:space="preserve">PAGE  </w:instrText>
    </w:r>
    <w:r>
      <w:rPr>
        <w:rStyle w:val="1130"/>
      </w:rPr>
      <w:fldChar w:fldCharType="end"/>
    </w:r>
    <w:r>
      <w:rPr>
        <w:rStyle w:val="1130"/>
      </w:rPr>
    </w:r>
    <w:r>
      <w:rPr>
        <w:rStyle w:val="1130"/>
      </w:rPr>
    </w:r>
  </w:p>
  <w:p>
    <w:pPr>
      <w:pStyle w:val="974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4"/>
      <w:rPr>
        <w:rStyle w:val="1130"/>
      </w:rPr>
      <w:framePr w:wrap="auto" w:vAnchor="text" w:hAnchor="margin" w:xAlign="right" w:y="1"/>
    </w:pPr>
    <w:r>
      <w:rPr>
        <w:rStyle w:val="1130"/>
      </w:rPr>
      <w:fldChar w:fldCharType="begin"/>
    </w:r>
    <w:r>
      <w:rPr>
        <w:rStyle w:val="1130"/>
      </w:rPr>
      <w:instrText xml:space="preserve">PAGE  </w:instrText>
    </w:r>
    <w:r>
      <w:rPr>
        <w:rStyle w:val="1130"/>
      </w:rPr>
      <w:fldChar w:fldCharType="separate"/>
    </w:r>
    <w:r>
      <w:rPr>
        <w:rStyle w:val="1130"/>
      </w:rPr>
      <w:t xml:space="preserve">62</w:t>
    </w:r>
    <w:r>
      <w:rPr>
        <w:rStyle w:val="1130"/>
      </w:rPr>
      <w:fldChar w:fldCharType="end"/>
    </w:r>
    <w:r>
      <w:rPr>
        <w:rStyle w:val="1130"/>
      </w:rPr>
    </w:r>
    <w:r>
      <w:rPr>
        <w:rStyle w:val="1130"/>
      </w:rPr>
    </w:r>
  </w:p>
  <w:p>
    <w:pPr>
      <w:pStyle w:val="974"/>
      <w:ind w:right="360"/>
      <w:jc w:val="center"/>
      <w:tabs>
        <w:tab w:val="right" w:pos="9840" w:leader="none"/>
      </w:tabs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4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59</w:t>
    </w:r>
    <w: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ind w:firstLine="540"/>
        <w:outlineLvl w:val="0"/>
      </w:pPr>
      <w:r>
        <w:rPr>
          <w:sz w:val="20"/>
          <w:szCs w:val="20"/>
          <w:vertAlign w:val="superscript"/>
        </w:rPr>
        <w:footnoteRef/>
      </w:r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</w:rPr>
        <w:t xml:space="preserve">Данные о наличии банковской лицензии могут быть проверены на официальном сайте Банка России по адресу http://www.cbr.ru/credit/.</w:t>
      </w:r>
      <w:r/>
    </w:p>
  </w:footnote>
  <w:footnote w:id="3">
    <w:p>
      <w:pPr>
        <w:ind w:firstLine="540"/>
        <w:outlineLvl w:val="0"/>
      </w:pPr>
      <w:r>
        <w:rPr>
          <w:rStyle w:val="1107"/>
          <w:sz w:val="20"/>
          <w:szCs w:val="20"/>
        </w:rPr>
        <w:footnoteRef/>
      </w:r>
      <w:r>
        <w:rPr>
          <w:rStyle w:val="1107"/>
          <w:sz w:val="20"/>
          <w:szCs w:val="20"/>
        </w:rPr>
        <w:t xml:space="preserve"> </w:t>
      </w:r>
      <w:r>
        <w:rPr>
          <w:sz w:val="20"/>
          <w:szCs w:val="20"/>
        </w:rPr>
        <w:t xml:space="preserve">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  <w:r/>
    </w:p>
  </w:footnote>
  <w:footnote w:id="4">
    <w:p>
      <w:pPr>
        <w:ind w:firstLine="540"/>
        <w:rPr>
          <w:sz w:val="20"/>
          <w:szCs w:val="20"/>
        </w:rPr>
        <w:outlineLvl w:val="0"/>
      </w:pPr>
      <w:r>
        <w:rPr>
          <w:rStyle w:val="1107"/>
          <w:sz w:val="20"/>
          <w:szCs w:val="20"/>
        </w:rPr>
        <w:footnoteRef/>
      </w:r>
      <w:r>
        <w:rPr>
          <w:sz w:val="20"/>
          <w:szCs w:val="20"/>
        </w:rPr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outlineLvl w:val="0"/>
      </w:pPr>
      <w:r>
        <w:rPr>
          <w:sz w:val="20"/>
          <w:szCs w:val="20"/>
        </w:rPr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tooltip="http://www.asv.org.ru/guide/bank/" w:history="1">
        <w:r>
          <w:t xml:space="preserve">http://www.asv.org.ru/guide/bank/</w:t>
        </w:r>
      </w:hyperlink>
      <w:r>
        <w:rPr>
          <w:sz w:val="20"/>
          <w:szCs w:val="20"/>
        </w:rPr>
        <w:t xml:space="preserve"> или Банка России по адресу http://www.cbr.ru/credit/.</w:t>
      </w:r>
      <w:r/>
    </w:p>
  </w:footnote>
  <w:footnote w:id="5">
    <w:p>
      <w:pPr>
        <w:pStyle w:val="1105"/>
      </w:pPr>
      <w:r>
        <w:rPr>
          <w:rStyle w:val="1107"/>
        </w:rPr>
        <w:footnoteRef/>
      </w:r>
      <w:r>
        <w:t xml:space="preserve"> В соответствии со ст. 102 НК РФ – данная информация не является налоговой тайной</w:t>
      </w:r>
      <w:r/>
    </w:p>
  </w:footnote>
  <w:footnote w:id="6">
    <w:p>
      <w:pPr>
        <w:pStyle w:val="1105"/>
      </w:pPr>
      <w:r>
        <w:rPr>
          <w:rStyle w:val="1107"/>
        </w:rPr>
        <w:footnoteRef/>
      </w:r>
      <w:r>
        <w:t xml:space="preserve"> В соответствии со ст. 102 НК РФ – данная информация не является налоговой тайной</w:t>
      </w:r>
      <w:r/>
    </w:p>
  </w:footnote>
  <w:footnote w:id="7">
    <w:p>
      <w:pPr>
        <w:pStyle w:val="1105"/>
      </w:pPr>
      <w:r>
        <w:rPr>
          <w:rStyle w:val="1107"/>
        </w:rPr>
        <w:footnoteRef/>
      </w:r>
      <w:r>
        <w:t xml:space="preserve"> В соответствии со ст. 102 НК РФ – данная информация не является налоговой тайной</w:t>
      </w:r>
      <w:r/>
    </w:p>
  </w:footnote>
  <w:footnote w:id="8">
    <w:p>
      <w:pPr>
        <w:pStyle w:val="1105"/>
      </w:pPr>
      <w:r>
        <w:rPr>
          <w:rStyle w:val="1107"/>
        </w:rPr>
        <w:footnoteRef/>
      </w:r>
      <w:r>
        <w:t xml:space="preserve"> Лица, занимающие (занима</w:t>
      </w:r>
      <w:r>
        <w:t xml:space="preserve">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</w:t>
      </w:r>
      <w:r>
        <w:t xml:space="preserve">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>
        <w:rPr>
          <w:u w:val="single"/>
        </w:rPr>
        <w:t xml:space="preserve">(Перечень публичных должностных лиц указан в приложении к Анкете).</w:t>
      </w:r>
      <w:r/>
    </w:p>
  </w:footnote>
  <w:footnote w:id="9">
    <w:p>
      <w:pPr>
        <w:pStyle w:val="1105"/>
      </w:pPr>
      <w:r>
        <w:rPr>
          <w:rStyle w:val="1107"/>
        </w:rPr>
        <w:foot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/>
    </w:p>
  </w:footnote>
  <w:footnote w:id="10">
    <w:p>
      <w:pPr>
        <w:pStyle w:val="1105"/>
      </w:pPr>
      <w:r>
        <w:rPr>
          <w:rStyle w:val="1316"/>
          <w:i/>
          <w:iCs/>
          <w:sz w:val="26"/>
          <w:szCs w:val="26"/>
          <w:vertAlign w:val="superscript"/>
        </w:rPr>
        <w:t xml:space="preserve">9</w:t>
      </w:r>
      <w:r>
        <w:rPr>
          <w:rStyle w:val="1317"/>
        </w:rP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222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73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884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53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546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197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208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  <w:tabs>
          <w:tab w:val="num" w:pos="162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abstractNum w:abstractNumId="4">
    <w:multiLevelType w:val="hybridMultilevel"/>
    <w:lvl w:ilvl="0">
      <w:start w:val="1"/>
      <w:numFmt w:val="decimal"/>
      <w:pStyle w:val="1151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153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152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1154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pStyle w:val="1284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360" w:hanging="360"/>
        <w:tabs>
          <w:tab w:val="num" w:pos="3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29" w:hanging="360"/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222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73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884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53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546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197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208" w:hanging="180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29" w:hanging="360"/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cs="Times New Roman"/>
        <w:b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b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sz w:val="24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25">
    <w:multiLevelType w:val="hybridMultilevel"/>
    <w:lvl w:ilvl="0">
      <w:start w:val="1"/>
      <w:numFmt w:val="decimal"/>
      <w:pStyle w:val="1122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1126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pStyle w:val="1127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pStyle w:val="1128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9">
    <w:multiLevelType w:val="hybridMultilevel"/>
    <w:lvl w:ilvl="0">
      <w:start w:val="1"/>
      <w:numFmt w:val="decimal"/>
      <w:pStyle w:val="1190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1176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3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pStyle w:val="118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43">
    <w:multiLevelType w:val="hybridMultilevel"/>
    <w:lvl w:ilvl="0">
      <w:start w:val="1"/>
      <w:numFmt w:val="thaiNumbers"/>
      <w:pStyle w:val="1312"/>
      <w:isLgl w:val="false"/>
      <w:suff w:val="space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</w:lvl>
  </w:abstractNum>
  <w:abstractNum w:abstractNumId="44">
    <w:multiLevelType w:val="hybridMultilevel"/>
    <w:lvl w:ilvl="0">
      <w:start w:val="1"/>
      <w:numFmt w:val="decimal"/>
      <w:pStyle w:val="116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4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6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sz w:val="40"/>
        <w:szCs w:val="40"/>
      </w:rPr>
    </w:lvl>
    <w:lvl w:ilvl="1">
      <w:start w:val="1"/>
      <w:numFmt w:val="decimal"/>
      <w:pStyle w:val="1187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07" w:hanging="840"/>
      </w:pPr>
      <w:rPr>
        <w:sz w:val="22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sz w:val="24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sz w:val="24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sz w:val="24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sz w:val="24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sz w:val="24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sz w:val="24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sz w:val="24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222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73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884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53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546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197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208" w:hanging="180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num w:numId="1">
    <w:abstractNumId w:val="25"/>
  </w:num>
  <w:num w:numId="2">
    <w:abstractNumId w:val="4"/>
  </w:num>
  <w:num w:numId="3">
    <w:abstractNumId w:val="24"/>
  </w:num>
  <w:num w:numId="4">
    <w:abstractNumId w:val="5"/>
  </w:num>
  <w:num w:numId="5">
    <w:abstractNumId w:val="45"/>
  </w:num>
  <w:num w:numId="6">
    <w:abstractNumId w:val="37"/>
  </w:num>
  <w:num w:numId="7">
    <w:abstractNumId w:val="2"/>
  </w:num>
  <w:num w:numId="8">
    <w:abstractNumId w:val="15"/>
  </w:num>
  <w:num w:numId="9">
    <w:abstractNumId w:val="36"/>
  </w:num>
  <w:num w:numId="10">
    <w:abstractNumId w:val="23"/>
  </w:num>
  <w:num w:numId="11">
    <w:abstractNumId w:val="18"/>
  </w:num>
  <w:num w:numId="12">
    <w:abstractNumId w:val="40"/>
  </w:num>
  <w:num w:numId="13">
    <w:abstractNumId w:val="9"/>
  </w:num>
  <w:num w:numId="14">
    <w:abstractNumId w:val="44"/>
  </w:num>
  <w:num w:numId="15">
    <w:abstractNumId w:val="7"/>
  </w:num>
  <w:num w:numId="16">
    <w:abstractNumId w:val="46"/>
  </w:num>
  <w:num w:numId="17">
    <w:abstractNumId w:val="35"/>
  </w:num>
  <w:num w:numId="18">
    <w:abstractNumId w:val="29"/>
  </w:num>
  <w:num w:numId="19">
    <w:abstractNumId w:val="8"/>
  </w:num>
  <w:num w:numId="20">
    <w:abstractNumId w:val="43"/>
  </w:num>
  <w:num w:numId="21">
    <w:abstractNumId w:val="26"/>
  </w:num>
  <w:num w:numId="22">
    <w:abstractNumId w:val="33"/>
  </w:num>
  <w:num w:numId="23">
    <w:abstractNumId w:val="41"/>
  </w:num>
  <w:num w:numId="24">
    <w:abstractNumId w:val="17"/>
  </w:num>
  <w:num w:numId="25">
    <w:abstractNumId w:val="0"/>
  </w:num>
  <w:num w:numId="26">
    <w:abstractNumId w:val="32"/>
  </w:num>
  <w:num w:numId="27">
    <w:abstractNumId w:val="31"/>
  </w:num>
  <w:num w:numId="28">
    <w:abstractNumId w:val="39"/>
  </w:num>
  <w:num w:numId="29">
    <w:abstractNumId w:val="6"/>
  </w:num>
  <w:num w:numId="30">
    <w:abstractNumId w:val="21"/>
  </w:num>
  <w:num w:numId="31">
    <w:abstractNumId w:val="27"/>
  </w:num>
  <w:num w:numId="32">
    <w:abstractNumId w:val="10"/>
  </w:num>
  <w:num w:numId="33">
    <w:abstractNumId w:val="42"/>
  </w:num>
  <w:num w:numId="34">
    <w:abstractNumId w:val="20"/>
  </w:num>
  <w:num w:numId="35">
    <w:abstractNumId w:val="3"/>
  </w:num>
  <w:num w:numId="36">
    <w:abstractNumId w:val="28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1"/>
  </w:num>
  <w:num w:numId="41">
    <w:abstractNumId w:val="19"/>
  </w:num>
  <w:num w:numId="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</w:num>
  <w:num w:numId="44">
    <w:abstractNumId w:val="13"/>
  </w:num>
  <w:num w:numId="45">
    <w:abstractNumId w:val="16"/>
  </w:num>
  <w:num w:numId="46">
    <w:abstractNumId w:val="11"/>
  </w:num>
  <w:num w:numId="47">
    <w:abstractNumId w:val="22"/>
  </w:num>
  <w:num w:numId="48">
    <w:abstractNumId w:val="14"/>
  </w:num>
  <w:num w:numId="49">
    <w:abstractNumId w:val="12"/>
  </w:num>
  <w:num w:numId="5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51"/>
  </w:num>
  <w:num w:numId="53">
    <w:abstractNumId w:val="50"/>
  </w:num>
  <w:num w:numId="5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36">
    <w:name w:val="Heading 1 Char"/>
    <w:basedOn w:val="950"/>
    <w:link w:val="941"/>
    <w:uiPriority w:val="9"/>
    <w:rPr>
      <w:rFonts w:ascii="Arial" w:hAnsi="Arial" w:eastAsia="Arial" w:cs="Arial"/>
      <w:sz w:val="40"/>
      <w:szCs w:val="40"/>
    </w:rPr>
  </w:style>
  <w:style w:type="character" w:styleId="937">
    <w:name w:val="Heading 2 Char"/>
    <w:basedOn w:val="950"/>
    <w:link w:val="942"/>
    <w:uiPriority w:val="9"/>
    <w:rPr>
      <w:rFonts w:ascii="Arial" w:hAnsi="Arial" w:eastAsia="Arial" w:cs="Arial"/>
      <w:sz w:val="34"/>
    </w:rPr>
  </w:style>
  <w:style w:type="character" w:styleId="938">
    <w:name w:val="Quote Char"/>
    <w:link w:val="968"/>
    <w:uiPriority w:val="29"/>
    <w:rPr>
      <w:i/>
    </w:rPr>
  </w:style>
  <w:style w:type="character" w:styleId="939">
    <w:name w:val="Intense Quote Char"/>
    <w:link w:val="970"/>
    <w:uiPriority w:val="30"/>
    <w:rPr>
      <w:i/>
    </w:rPr>
  </w:style>
  <w:style w:type="paragraph" w:styleId="940" w:default="1">
    <w:name w:val="Normal"/>
    <w:qFormat/>
    <w:rPr>
      <w:sz w:val="24"/>
      <w:szCs w:val="24"/>
      <w:lang w:eastAsia="ru-RU"/>
    </w:rPr>
  </w:style>
  <w:style w:type="paragraph" w:styleId="941">
    <w:name w:val="Heading 1"/>
    <w:basedOn w:val="940"/>
    <w:next w:val="940"/>
    <w:link w:val="95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942">
    <w:name w:val="Heading 2"/>
    <w:basedOn w:val="940"/>
    <w:next w:val="940"/>
    <w:link w:val="95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943">
    <w:name w:val="Heading 3"/>
    <w:basedOn w:val="940"/>
    <w:next w:val="940"/>
    <w:link w:val="1174"/>
    <w:uiPriority w:val="99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US" w:eastAsia="en-US"/>
    </w:rPr>
  </w:style>
  <w:style w:type="paragraph" w:styleId="944">
    <w:name w:val="Heading 4"/>
    <w:basedOn w:val="940"/>
    <w:next w:val="940"/>
    <w:link w:val="1159"/>
    <w:uiPriority w:val="99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paragraph" w:styleId="945">
    <w:name w:val="Heading 5"/>
    <w:basedOn w:val="940"/>
    <w:next w:val="940"/>
    <w:link w:val="1168"/>
    <w:uiPriority w:val="99"/>
    <w:qFormat/>
    <w:pPr>
      <w:jc w:val="both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/>
    </w:rPr>
  </w:style>
  <w:style w:type="paragraph" w:styleId="946">
    <w:name w:val="Heading 6"/>
    <w:basedOn w:val="940"/>
    <w:next w:val="940"/>
    <w:link w:val="1169"/>
    <w:uiPriority w:val="99"/>
    <w:qFormat/>
    <w:pPr>
      <w:ind w:left="1152" w:hanging="1152"/>
      <w:jc w:val="both"/>
      <w:spacing w:before="240" w:after="60"/>
      <w:tabs>
        <w:tab w:val="num" w:pos="1152" w:leader="none"/>
      </w:tabs>
      <w:outlineLvl w:val="5"/>
    </w:pPr>
    <w:rPr>
      <w:i/>
      <w:iCs/>
      <w:sz w:val="20"/>
      <w:szCs w:val="20"/>
      <w:lang w:val="en-US" w:eastAsia="en-US"/>
    </w:rPr>
  </w:style>
  <w:style w:type="paragraph" w:styleId="947">
    <w:name w:val="Heading 7"/>
    <w:basedOn w:val="940"/>
    <w:next w:val="940"/>
    <w:link w:val="1170"/>
    <w:uiPriority w:val="99"/>
    <w:qFormat/>
    <w:pPr>
      <w:ind w:left="1296" w:hanging="1296"/>
      <w:jc w:val="both"/>
      <w:spacing w:before="240" w:after="60"/>
      <w:tabs>
        <w:tab w:val="num" w:pos="1296" w:leader="none"/>
      </w:tabs>
      <w:outlineLvl w:val="6"/>
    </w:pPr>
    <w:rPr>
      <w:rFonts w:ascii="Arial" w:hAnsi="Arial"/>
      <w:sz w:val="20"/>
      <w:szCs w:val="20"/>
      <w:lang w:val="en-US" w:eastAsia="en-US"/>
    </w:rPr>
  </w:style>
  <w:style w:type="paragraph" w:styleId="948">
    <w:name w:val="Heading 8"/>
    <w:basedOn w:val="940"/>
    <w:next w:val="940"/>
    <w:link w:val="1171"/>
    <w:uiPriority w:val="99"/>
    <w:qFormat/>
    <w:pPr>
      <w:ind w:left="1440" w:hanging="1440"/>
      <w:jc w:val="both"/>
      <w:spacing w:before="240" w:after="60"/>
      <w:tabs>
        <w:tab w:val="num" w:pos="1440" w:leader="none"/>
      </w:tabs>
      <w:outlineLvl w:val="7"/>
    </w:pPr>
    <w:rPr>
      <w:rFonts w:ascii="Arial" w:hAnsi="Arial"/>
      <w:i/>
      <w:iCs/>
      <w:sz w:val="20"/>
      <w:szCs w:val="20"/>
      <w:lang w:val="en-US" w:eastAsia="en-US"/>
    </w:rPr>
  </w:style>
  <w:style w:type="paragraph" w:styleId="949">
    <w:name w:val="Heading 9"/>
    <w:basedOn w:val="940"/>
    <w:next w:val="940"/>
    <w:link w:val="1172"/>
    <w:uiPriority w:val="99"/>
    <w:qFormat/>
    <w:pPr>
      <w:ind w:left="1584" w:hanging="1584"/>
      <w:jc w:val="both"/>
      <w:spacing w:before="240" w:after="60"/>
      <w:tabs>
        <w:tab w:val="num" w:pos="1584" w:leader="none"/>
      </w:tabs>
      <w:outlineLvl w:val="8"/>
    </w:pPr>
    <w:rPr>
      <w:rFonts w:ascii="Arial" w:hAnsi="Arial"/>
      <w:b/>
      <w:bCs/>
      <w:i/>
      <w:iCs/>
      <w:sz w:val="18"/>
      <w:szCs w:val="18"/>
      <w:lang w:val="en-US" w:eastAsia="en-US"/>
    </w:rPr>
  </w:style>
  <w:style w:type="character" w:styleId="950" w:default="1">
    <w:name w:val="Default Paragraph Font"/>
    <w:uiPriority w:val="1"/>
    <w:semiHidden/>
    <w:unhideWhenUsed/>
  </w:style>
  <w:style w:type="table" w:styleId="95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52" w:default="1">
    <w:name w:val="No List"/>
    <w:uiPriority w:val="99"/>
    <w:semiHidden/>
    <w:unhideWhenUsed/>
  </w:style>
  <w:style w:type="character" w:styleId="953" w:customStyle="1">
    <w:name w:val="Заголовок 1 Знак"/>
    <w:link w:val="941"/>
    <w:uiPriority w:val="9"/>
    <w:rPr>
      <w:rFonts w:ascii="Arial" w:hAnsi="Arial" w:eastAsia="Arial" w:cs="Arial"/>
      <w:sz w:val="40"/>
      <w:szCs w:val="40"/>
    </w:rPr>
  </w:style>
  <w:style w:type="character" w:styleId="954" w:customStyle="1">
    <w:name w:val="Заголовок 2 Знак"/>
    <w:link w:val="942"/>
    <w:uiPriority w:val="9"/>
    <w:rPr>
      <w:rFonts w:ascii="Arial" w:hAnsi="Arial" w:eastAsia="Arial" w:cs="Arial"/>
      <w:sz w:val="34"/>
    </w:rPr>
  </w:style>
  <w:style w:type="character" w:styleId="955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956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957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958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959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60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961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paragraph" w:styleId="962">
    <w:name w:val="List Paragraph"/>
    <w:basedOn w:val="940"/>
    <w:uiPriority w:val="34"/>
    <w:qFormat/>
    <w:pPr>
      <w:contextualSpacing/>
      <w:ind w:left="720"/>
    </w:pPr>
  </w:style>
  <w:style w:type="paragraph" w:styleId="963">
    <w:name w:val="No Spacing"/>
    <w:uiPriority w:val="1"/>
    <w:qFormat/>
    <w:rPr>
      <w:sz w:val="24"/>
      <w:szCs w:val="24"/>
      <w:lang w:eastAsia="ru-RU"/>
    </w:rPr>
  </w:style>
  <w:style w:type="paragraph" w:styleId="964">
    <w:name w:val="Title"/>
    <w:basedOn w:val="940"/>
    <w:next w:val="940"/>
    <w:link w:val="1158"/>
    <w:qFormat/>
    <w:pPr>
      <w:jc w:val="center"/>
      <w:spacing w:before="240" w:after="60"/>
      <w:outlineLvl w:val="0"/>
    </w:pPr>
    <w:rPr>
      <w:rFonts w:ascii="Calibri Light" w:hAnsi="Calibri Light"/>
      <w:b/>
      <w:bCs/>
      <w:sz w:val="32"/>
      <w:szCs w:val="32"/>
      <w:lang w:val="en-US" w:eastAsia="en-US"/>
    </w:rPr>
  </w:style>
  <w:style w:type="character" w:styleId="965" w:customStyle="1">
    <w:name w:val="Title Char"/>
    <w:uiPriority w:val="10"/>
    <w:rPr>
      <w:sz w:val="48"/>
      <w:szCs w:val="48"/>
    </w:rPr>
  </w:style>
  <w:style w:type="paragraph" w:styleId="966">
    <w:name w:val="Subtitle"/>
    <w:basedOn w:val="940"/>
    <w:link w:val="1193"/>
    <w:uiPriority w:val="99"/>
    <w:qFormat/>
    <w:pPr>
      <w:jc w:val="center"/>
      <w:spacing w:after="60"/>
      <w:outlineLvl w:val="1"/>
    </w:pPr>
    <w:rPr>
      <w:rFonts w:ascii="Cambria" w:hAnsi="Cambria"/>
      <w:lang w:val="en-US" w:eastAsia="en-US"/>
    </w:rPr>
  </w:style>
  <w:style w:type="character" w:styleId="967" w:customStyle="1">
    <w:name w:val="Subtitle Char"/>
    <w:uiPriority w:val="11"/>
    <w:rPr>
      <w:sz w:val="24"/>
      <w:szCs w:val="24"/>
    </w:rPr>
  </w:style>
  <w:style w:type="paragraph" w:styleId="968">
    <w:name w:val="Quote"/>
    <w:basedOn w:val="940"/>
    <w:next w:val="940"/>
    <w:link w:val="969"/>
    <w:uiPriority w:val="29"/>
    <w:qFormat/>
    <w:pPr>
      <w:ind w:left="720" w:right="720"/>
    </w:pPr>
    <w:rPr>
      <w:i/>
    </w:rPr>
  </w:style>
  <w:style w:type="character" w:styleId="969" w:customStyle="1">
    <w:name w:val="Цитата 2 Знак"/>
    <w:link w:val="968"/>
    <w:uiPriority w:val="29"/>
    <w:rPr>
      <w:i/>
    </w:rPr>
  </w:style>
  <w:style w:type="paragraph" w:styleId="970">
    <w:name w:val="Intense Quote"/>
    <w:basedOn w:val="940"/>
    <w:next w:val="940"/>
    <w:link w:val="97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71" w:customStyle="1">
    <w:name w:val="Выделенная цитата Знак"/>
    <w:link w:val="970"/>
    <w:uiPriority w:val="30"/>
    <w:rPr>
      <w:i/>
    </w:rPr>
  </w:style>
  <w:style w:type="paragraph" w:styleId="972">
    <w:name w:val="Header"/>
    <w:basedOn w:val="940"/>
    <w:link w:val="1206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973" w:customStyle="1">
    <w:name w:val="Header Char"/>
    <w:uiPriority w:val="99"/>
  </w:style>
  <w:style w:type="paragraph" w:styleId="974">
    <w:name w:val="Footer"/>
    <w:basedOn w:val="940"/>
    <w:link w:val="1208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975" w:customStyle="1">
    <w:name w:val="Footer Char"/>
    <w:uiPriority w:val="99"/>
  </w:style>
  <w:style w:type="paragraph" w:styleId="976">
    <w:name w:val="Caption"/>
    <w:basedOn w:val="940"/>
    <w:next w:val="940"/>
    <w:uiPriority w:val="35"/>
    <w:unhideWhenUsed/>
    <w:qFormat/>
    <w:pPr>
      <w:spacing w:after="200"/>
    </w:pPr>
    <w:rPr>
      <w:rFonts w:ascii="Calibri" w:hAnsi="Calibri" w:eastAsia="Calibri"/>
      <w:b/>
      <w:bCs/>
      <w:color w:val="4f81bd"/>
      <w:sz w:val="18"/>
      <w:szCs w:val="18"/>
      <w:lang w:eastAsia="en-US"/>
    </w:rPr>
  </w:style>
  <w:style w:type="character" w:styleId="977" w:customStyle="1">
    <w:name w:val="Caption Char"/>
    <w:uiPriority w:val="99"/>
  </w:style>
  <w:style w:type="table" w:styleId="978">
    <w:name w:val="Table Grid"/>
    <w:basedOn w:val="951"/>
    <w:uiPriority w:val="59"/>
    <w:tblPr/>
  </w:style>
  <w:style w:type="table" w:styleId="979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80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8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82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83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85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1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5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4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5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6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07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1008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1009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1010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1011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1012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1013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014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1015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1016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1017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1018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1019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1020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021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1022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1023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1024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1025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026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027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2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3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4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5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6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7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8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9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0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042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1043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1044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1045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1046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1047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1048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9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0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1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2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3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4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5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6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7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8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9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0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1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2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63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64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65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66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67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68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69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70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071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072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073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074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075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076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7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8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9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0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1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2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3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84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85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86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87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88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89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90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91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92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93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94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95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96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97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98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99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100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101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102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103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104">
    <w:name w:val="Hyperlink"/>
    <w:uiPriority w:val="99"/>
    <w:rPr>
      <w:color w:val="336699"/>
      <w:u w:val="none"/>
    </w:rPr>
  </w:style>
  <w:style w:type="paragraph" w:styleId="1105">
    <w:name w:val="footnote text"/>
    <w:basedOn w:val="940"/>
    <w:link w:val="1160"/>
    <w:uiPriority w:val="99"/>
    <w:unhideWhenUsed/>
    <w:pPr>
      <w:ind w:firstLine="567"/>
      <w:jc w:val="both"/>
    </w:pPr>
    <w:rPr>
      <w:sz w:val="22"/>
      <w:szCs w:val="20"/>
      <w:lang w:val="en-US" w:eastAsia="en-US"/>
    </w:rPr>
  </w:style>
  <w:style w:type="character" w:styleId="1106" w:customStyle="1">
    <w:name w:val="Footnote Text Char"/>
    <w:uiPriority w:val="99"/>
    <w:rPr>
      <w:sz w:val="18"/>
    </w:rPr>
  </w:style>
  <w:style w:type="character" w:styleId="1107">
    <w:name w:val="footnote reference"/>
    <w:uiPriority w:val="99"/>
    <w:unhideWhenUsed/>
    <w:rPr>
      <w:rFonts w:ascii="Times New Roman" w:hAnsi="Times New Roman"/>
      <w:vertAlign w:val="superscript"/>
    </w:rPr>
  </w:style>
  <w:style w:type="paragraph" w:styleId="1108">
    <w:name w:val="endnote text"/>
    <w:basedOn w:val="940"/>
    <w:link w:val="1289"/>
    <w:uiPriority w:val="99"/>
    <w:pPr>
      <w:jc w:val="both"/>
      <w:spacing w:after="60"/>
    </w:pPr>
    <w:rPr>
      <w:sz w:val="20"/>
      <w:szCs w:val="20"/>
    </w:rPr>
  </w:style>
  <w:style w:type="character" w:styleId="1109" w:customStyle="1">
    <w:name w:val="Endnote Text Char"/>
    <w:uiPriority w:val="99"/>
    <w:rPr>
      <w:sz w:val="20"/>
    </w:rPr>
  </w:style>
  <w:style w:type="character" w:styleId="1110">
    <w:name w:val="endnote reference"/>
    <w:uiPriority w:val="99"/>
    <w:rPr>
      <w:vertAlign w:val="superscript"/>
    </w:rPr>
  </w:style>
  <w:style w:type="paragraph" w:styleId="1111">
    <w:name w:val="toc 1"/>
    <w:basedOn w:val="940"/>
    <w:next w:val="940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1112">
    <w:name w:val="toc 2"/>
    <w:basedOn w:val="940"/>
    <w:next w:val="940"/>
    <w:uiPriority w:val="39"/>
    <w:pPr>
      <w:ind w:left="240"/>
    </w:pPr>
    <w:rPr>
      <w:smallCaps/>
      <w:sz w:val="20"/>
      <w:szCs w:val="20"/>
    </w:rPr>
  </w:style>
  <w:style w:type="paragraph" w:styleId="1113">
    <w:name w:val="toc 3"/>
    <w:basedOn w:val="940"/>
    <w:next w:val="940"/>
    <w:uiPriority w:val="39"/>
    <w:pPr>
      <w:ind w:left="480"/>
    </w:pPr>
    <w:rPr>
      <w:i/>
      <w:iCs/>
      <w:sz w:val="20"/>
      <w:szCs w:val="20"/>
    </w:rPr>
  </w:style>
  <w:style w:type="paragraph" w:styleId="1114">
    <w:name w:val="toc 4"/>
    <w:basedOn w:val="940"/>
    <w:next w:val="940"/>
    <w:uiPriority w:val="39"/>
    <w:pPr>
      <w:ind w:left="720"/>
    </w:pPr>
    <w:rPr>
      <w:sz w:val="18"/>
      <w:szCs w:val="18"/>
    </w:rPr>
  </w:style>
  <w:style w:type="paragraph" w:styleId="1115">
    <w:name w:val="toc 5"/>
    <w:basedOn w:val="940"/>
    <w:next w:val="940"/>
    <w:uiPriority w:val="39"/>
    <w:pPr>
      <w:ind w:left="960"/>
    </w:pPr>
    <w:rPr>
      <w:sz w:val="18"/>
      <w:szCs w:val="18"/>
    </w:rPr>
  </w:style>
  <w:style w:type="paragraph" w:styleId="1116">
    <w:name w:val="toc 6"/>
    <w:basedOn w:val="940"/>
    <w:next w:val="940"/>
    <w:uiPriority w:val="39"/>
    <w:pPr>
      <w:ind w:left="1200"/>
    </w:pPr>
    <w:rPr>
      <w:sz w:val="18"/>
      <w:szCs w:val="18"/>
    </w:rPr>
  </w:style>
  <w:style w:type="paragraph" w:styleId="1117">
    <w:name w:val="toc 7"/>
    <w:basedOn w:val="940"/>
    <w:next w:val="940"/>
    <w:uiPriority w:val="39"/>
    <w:pPr>
      <w:ind w:left="1440"/>
    </w:pPr>
    <w:rPr>
      <w:sz w:val="18"/>
      <w:szCs w:val="18"/>
    </w:rPr>
  </w:style>
  <w:style w:type="paragraph" w:styleId="1118">
    <w:name w:val="toc 8"/>
    <w:basedOn w:val="940"/>
    <w:next w:val="940"/>
    <w:uiPriority w:val="39"/>
    <w:pPr>
      <w:ind w:left="1680"/>
    </w:pPr>
    <w:rPr>
      <w:sz w:val="18"/>
      <w:szCs w:val="18"/>
    </w:rPr>
  </w:style>
  <w:style w:type="paragraph" w:styleId="1119">
    <w:name w:val="toc 9"/>
    <w:basedOn w:val="940"/>
    <w:next w:val="940"/>
    <w:uiPriority w:val="39"/>
    <w:pPr>
      <w:ind w:left="1920"/>
    </w:pPr>
    <w:rPr>
      <w:sz w:val="18"/>
      <w:szCs w:val="18"/>
    </w:rPr>
  </w:style>
  <w:style w:type="paragraph" w:styleId="1120">
    <w:name w:val="TOC Heading"/>
    <w:uiPriority w:val="39"/>
    <w:unhideWhenUsed/>
  </w:style>
  <w:style w:type="paragraph" w:styleId="1121">
    <w:name w:val="table of figures"/>
    <w:basedOn w:val="940"/>
    <w:next w:val="940"/>
    <w:uiPriority w:val="99"/>
    <w:unhideWhenUsed/>
  </w:style>
  <w:style w:type="paragraph" w:styleId="1122" w:customStyle="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940"/>
    <w:next w:val="940"/>
    <w:link w:val="1173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  <w:lang w:val="en-US" w:eastAsia="en-US"/>
    </w:rPr>
  </w:style>
  <w:style w:type="paragraph" w:styleId="1123" w:customStyle="1">
    <w:name w:val="Заголовок 2;Заголовок 2 Знак;H2;H2 Знак;Заголовок 21;2;h2;Б2;RTC;iz2;Numbered text 3;HD2;heading 2;Heading 2 Hidden;Раздел Знак;Заголовок 2 Знак1;2 Знак;Заголовок 2 Знак Знак;Level 2 Topic Heading;H21;Major;CHS;H2-Heading 2;l2;Header2;22;heading2;list2"/>
    <w:basedOn w:val="940"/>
    <w:next w:val="940"/>
    <w:link w:val="1166"/>
    <w:uiPriority w:val="99"/>
    <w:qFormat/>
    <w:pPr>
      <w:keepNext/>
      <w:spacing w:before="360" w:after="120"/>
      <w:outlineLvl w:val="1"/>
    </w:pPr>
    <w:rPr>
      <w:b/>
      <w:sz w:val="32"/>
      <w:szCs w:val="20"/>
      <w:lang w:val="en-US" w:eastAsia="en-US"/>
    </w:rPr>
  </w:style>
  <w:style w:type="character" w:styleId="1124" w:customStyle="1">
    <w:name w:val="Основной шрифт абзаца;Знак2"/>
    <w:link w:val="1149"/>
    <w:semiHidden/>
  </w:style>
  <w:style w:type="character" w:styleId="1125">
    <w:name w:val="FollowedHyperlink"/>
    <w:uiPriority w:val="99"/>
    <w:rPr>
      <w:color w:val="800080"/>
      <w:u w:val="single"/>
    </w:rPr>
  </w:style>
  <w:style w:type="paragraph" w:styleId="1126" w:customStyle="1">
    <w:name w:val="Пункт"/>
    <w:basedOn w:val="940"/>
    <w:link w:val="1300"/>
    <w:pPr>
      <w:numPr>
        <w:ilvl w:val="2"/>
        <w:numId w:val="1"/>
      </w:numPr>
      <w:jc w:val="both"/>
      <w:spacing w:line="360" w:lineRule="auto"/>
    </w:pPr>
    <w:rPr>
      <w:sz w:val="28"/>
      <w:szCs w:val="20"/>
      <w:lang w:val="en-US" w:eastAsia="en-US"/>
    </w:rPr>
  </w:style>
  <w:style w:type="paragraph" w:styleId="1127" w:customStyle="1">
    <w:name w:val="Подпункт"/>
    <w:basedOn w:val="1126"/>
    <w:pPr>
      <w:numPr>
        <w:ilvl w:val="3"/>
      </w:numPr>
    </w:pPr>
  </w:style>
  <w:style w:type="paragraph" w:styleId="1128" w:customStyle="1">
    <w:name w:val="Подподпункт"/>
    <w:basedOn w:val="1127"/>
    <w:pPr>
      <w:numPr>
        <w:ilvl w:val="4"/>
      </w:numPr>
    </w:pPr>
  </w:style>
  <w:style w:type="character" w:styleId="1129" w:customStyle="1">
    <w:name w:val="Основной текст Знак"/>
    <w:link w:val="1199"/>
    <w:uiPriority w:val="99"/>
    <w:rPr>
      <w:sz w:val="28"/>
      <w:szCs w:val="28"/>
      <w:lang w:val="ru-RU" w:eastAsia="ru-RU"/>
    </w:rPr>
  </w:style>
  <w:style w:type="character" w:styleId="1130">
    <w:name w:val="page number"/>
    <w:basedOn w:val="1124"/>
    <w:uiPriority w:val="99"/>
  </w:style>
  <w:style w:type="paragraph" w:styleId="1131" w:customStyle="1">
    <w:name w:val="3"/>
    <w:basedOn w:val="94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32" w:customStyle="1">
    <w:name w:val="Знак"/>
    <w:basedOn w:val="94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33" w:customStyle="1">
    <w:name w:val="Знак1"/>
    <w:basedOn w:val="94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34" w:customStyle="1">
    <w:name w:val="Знак Знак Знак Знак Знак"/>
    <w:basedOn w:val="94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35" w:customStyle="1">
    <w:name w:val="Знак Знак Знак1 Знак Знак"/>
    <w:basedOn w:val="94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36" w:customStyle="1">
    <w:name w:val="Знак Знак Знак Знак Знак Знак"/>
    <w:basedOn w:val="94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37">
    <w:name w:val="List Number"/>
    <w:basedOn w:val="940"/>
    <w:uiPriority w:val="99"/>
    <w:pPr>
      <w:jc w:val="both"/>
      <w:spacing w:before="60" w:line="360" w:lineRule="auto"/>
    </w:pPr>
    <w:rPr>
      <w:sz w:val="28"/>
    </w:rPr>
  </w:style>
  <w:style w:type="paragraph" w:styleId="1138" w:customStyle="1">
    <w:name w:val="Стиль1 Знак"/>
    <w:basedOn w:val="1127"/>
    <w:link w:val="1139"/>
    <w:pPr>
      <w:numPr>
        <w:ilvl w:val="0"/>
        <w:numId w:val="0"/>
      </w:numPr>
      <w:spacing w:line="240" w:lineRule="auto"/>
    </w:pPr>
    <w:rPr>
      <w:szCs w:val="28"/>
      <w:lang w:val="ru-RU" w:eastAsia="ru-RU"/>
    </w:rPr>
  </w:style>
  <w:style w:type="character" w:styleId="1139" w:customStyle="1">
    <w:name w:val="Стиль1 Знак Знак"/>
    <w:link w:val="1138"/>
    <w:rPr>
      <w:sz w:val="28"/>
      <w:szCs w:val="28"/>
      <w:lang w:val="ru-RU" w:eastAsia="ru-RU" w:bidi="ar-SA"/>
    </w:rPr>
  </w:style>
  <w:style w:type="paragraph" w:styleId="1140" w:customStyle="1">
    <w:name w:val="Стиль1"/>
    <w:basedOn w:val="1127"/>
    <w:pPr>
      <w:numPr>
        <w:ilvl w:val="0"/>
        <w:numId w:val="0"/>
      </w:numPr>
      <w:spacing w:line="240" w:lineRule="auto"/>
    </w:pPr>
    <w:rPr>
      <w:szCs w:val="28"/>
    </w:rPr>
  </w:style>
  <w:style w:type="character" w:styleId="1141" w:customStyle="1">
    <w:name w:val="заменить"/>
    <w:rPr>
      <w:i/>
      <w:u w:val="none"/>
      <w:shd w:val="clear" w:color="auto" w:fill="ffcc99"/>
    </w:rPr>
  </w:style>
  <w:style w:type="paragraph" w:styleId="1142" w:customStyle="1">
    <w:name w:val="Служебный"/>
    <w:basedOn w:val="940"/>
    <w:semiHidden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1143" w:customStyle="1">
    <w:name w:val="ConsPlusNormal"/>
    <w:pPr>
      <w:ind w:firstLine="720"/>
      <w:widowControl w:val="off"/>
    </w:pPr>
    <w:rPr>
      <w:rFonts w:ascii="Arial" w:hAnsi="Arial" w:cs="Arial"/>
      <w:lang w:eastAsia="ru-RU"/>
    </w:rPr>
  </w:style>
  <w:style w:type="paragraph" w:styleId="1144">
    <w:name w:val="Document Map"/>
    <w:basedOn w:val="940"/>
    <w:link w:val="1281"/>
    <w:uiPriority w:val="99"/>
    <w:semiHidden/>
    <w:pPr>
      <w:shd w:val="clear" w:color="auto" w:fill="000080"/>
    </w:pPr>
    <w:rPr>
      <w:rFonts w:ascii="Tahoma" w:hAnsi="Tahoma"/>
      <w:lang w:val="en-US" w:eastAsia="en-US"/>
    </w:rPr>
  </w:style>
  <w:style w:type="paragraph" w:styleId="1145">
    <w:name w:val="Normal (Web)"/>
    <w:basedOn w:val="940"/>
    <w:uiPriority w:val="99"/>
    <w:pPr>
      <w:spacing w:before="100" w:beforeAutospacing="1" w:after="100" w:afterAutospacing="1"/>
    </w:pPr>
  </w:style>
  <w:style w:type="character" w:styleId="1146">
    <w:name w:val="Emphasis"/>
    <w:uiPriority w:val="99"/>
    <w:qFormat/>
    <w:rPr>
      <w:i/>
      <w:iCs/>
    </w:rPr>
  </w:style>
  <w:style w:type="paragraph" w:styleId="1147">
    <w:name w:val="Balloon Text"/>
    <w:basedOn w:val="940"/>
    <w:link w:val="1275"/>
    <w:uiPriority w:val="99"/>
    <w:semiHidden/>
    <w:rPr>
      <w:rFonts w:ascii="Tahoma" w:hAnsi="Tahoma"/>
      <w:sz w:val="16"/>
      <w:szCs w:val="16"/>
      <w:lang w:val="en-US" w:eastAsia="en-US"/>
    </w:rPr>
  </w:style>
  <w:style w:type="paragraph" w:styleId="1148" w:customStyle="1">
    <w:name w:val="1 Знак"/>
    <w:basedOn w:val="94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49" w:customStyle="1">
    <w:name w:val="Знак"/>
    <w:basedOn w:val="940"/>
    <w:link w:val="1124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50" w:customStyle="1">
    <w:name w:val="1"/>
    <w:basedOn w:val="940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51" w:customStyle="1">
    <w:name w:val="Заголовок_1"/>
    <w:basedOn w:val="940"/>
    <w:uiPriority w:val="99"/>
    <w:pPr>
      <w:numPr>
        <w:ilvl w:val="0"/>
        <w:numId w:val="2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152" w:customStyle="1">
    <w:name w:val="Пункт_3"/>
    <w:basedOn w:val="940"/>
    <w:uiPriority w:val="99"/>
    <w:pPr>
      <w:numPr>
        <w:ilvl w:val="2"/>
        <w:numId w:val="2"/>
      </w:numPr>
      <w:jc w:val="both"/>
    </w:pPr>
    <w:rPr>
      <w:sz w:val="28"/>
      <w:szCs w:val="28"/>
    </w:rPr>
  </w:style>
  <w:style w:type="paragraph" w:styleId="1153" w:customStyle="1">
    <w:name w:val="Пункт_2"/>
    <w:basedOn w:val="940"/>
    <w:uiPriority w:val="99"/>
    <w:pPr>
      <w:numPr>
        <w:ilvl w:val="1"/>
        <w:numId w:val="2"/>
      </w:numPr>
      <w:jc w:val="both"/>
    </w:pPr>
    <w:rPr>
      <w:sz w:val="28"/>
      <w:szCs w:val="20"/>
    </w:rPr>
  </w:style>
  <w:style w:type="paragraph" w:styleId="1154" w:customStyle="1">
    <w:name w:val="Пункт_5"/>
    <w:basedOn w:val="1152"/>
    <w:uiPriority w:val="99"/>
    <w:pPr>
      <w:numPr>
        <w:ilvl w:val="4"/>
      </w:numPr>
    </w:pPr>
  </w:style>
  <w:style w:type="paragraph" w:styleId="1155" w:customStyle="1">
    <w:name w:val="Default"/>
    <w:rPr>
      <w:color w:val="000000"/>
      <w:sz w:val="24"/>
      <w:szCs w:val="24"/>
      <w:lang w:eastAsia="ru-RU"/>
    </w:rPr>
  </w:style>
  <w:style w:type="character" w:styleId="1156" w:customStyle="1">
    <w:name w:val="Абзац списка Знак;Маркер Знак;List Paragraph Знак;название Знак;Bullet Number Знак;Нумерованый список Знак;Bullet List Знак;FooterText Знак;numbered Знак;lp1 Знак;Абзац списка2 Знак;SL_Абзац списка Знак;List Paragraph1 Знак;Абзац списка4 Знак"/>
    <w:link w:val="1157"/>
    <w:uiPriority w:val="34"/>
    <w:qFormat/>
    <w:rPr>
      <w:sz w:val="24"/>
      <w:szCs w:val="24"/>
    </w:rPr>
  </w:style>
  <w:style w:type="paragraph" w:styleId="1157" w:customStyle="1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Абзац маркированнный"/>
    <w:basedOn w:val="940"/>
    <w:link w:val="1156"/>
    <w:uiPriority w:val="34"/>
    <w:qFormat/>
    <w:pPr>
      <w:ind w:left="720"/>
    </w:pPr>
    <w:rPr>
      <w:lang w:val="en-US" w:eastAsia="en-US"/>
    </w:rPr>
  </w:style>
  <w:style w:type="character" w:styleId="1158" w:customStyle="1">
    <w:name w:val="Заголовок Знак"/>
    <w:link w:val="964"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159" w:customStyle="1">
    <w:name w:val="Заголовок 4 Знак"/>
    <w:link w:val="944"/>
    <w:uiPriority w:val="99"/>
    <w:rPr>
      <w:rFonts w:ascii="Calibri" w:hAnsi="Calibri" w:eastAsia="Times New Roman" w:cs="Times New Roman"/>
      <w:b/>
      <w:bCs/>
      <w:sz w:val="28"/>
      <w:szCs w:val="28"/>
    </w:rPr>
  </w:style>
  <w:style w:type="character" w:styleId="1160" w:customStyle="1">
    <w:name w:val="Текст сноски Знак"/>
    <w:link w:val="1105"/>
    <w:uiPriority w:val="99"/>
    <w:rPr>
      <w:sz w:val="22"/>
    </w:rPr>
  </w:style>
  <w:style w:type="character" w:styleId="1161">
    <w:name w:val="annotation reference"/>
    <w:uiPriority w:val="99"/>
    <w:rPr>
      <w:sz w:val="16"/>
      <w:szCs w:val="16"/>
    </w:rPr>
  </w:style>
  <w:style w:type="paragraph" w:styleId="1162">
    <w:name w:val="annotation text"/>
    <w:basedOn w:val="940"/>
    <w:link w:val="1163"/>
    <w:uiPriority w:val="99"/>
    <w:rPr>
      <w:sz w:val="20"/>
      <w:szCs w:val="20"/>
    </w:rPr>
  </w:style>
  <w:style w:type="character" w:styleId="1163" w:customStyle="1">
    <w:name w:val="Текст примечания Знак"/>
    <w:basedOn w:val="1124"/>
    <w:link w:val="1162"/>
    <w:uiPriority w:val="99"/>
  </w:style>
  <w:style w:type="paragraph" w:styleId="1164">
    <w:name w:val="annotation subject"/>
    <w:basedOn w:val="1162"/>
    <w:next w:val="1162"/>
    <w:link w:val="1165"/>
    <w:uiPriority w:val="99"/>
    <w:rPr>
      <w:b/>
      <w:bCs/>
      <w:lang w:val="en-US" w:eastAsia="en-US"/>
    </w:rPr>
  </w:style>
  <w:style w:type="character" w:styleId="1165" w:customStyle="1">
    <w:name w:val="Тема примечания Знак"/>
    <w:link w:val="1164"/>
    <w:uiPriority w:val="99"/>
    <w:rPr>
      <w:b/>
      <w:bCs/>
    </w:rPr>
  </w:style>
  <w:style w:type="character" w:styleId="1166" w:customStyle="1">
    <w:name w:val="2 Знак1;Заголовок 2 Знак1 Знак;2 Знак Знак;h2 Знак;Б2 Знак;RTC Знак;iz2 Знак;Заголовок 21 Знак;Numbered text 3 Знак;HD2 Знак;heading 2 Знак;Heading 2 Hidden Знак;Раздел Знак Знак;Заголовок 2 Знак Знак Знак;H21 Знак;Major Знак"/>
    <w:link w:val="1123"/>
    <w:uiPriority w:val="99"/>
    <w:rPr>
      <w:b/>
      <w:sz w:val="32"/>
    </w:rPr>
  </w:style>
  <w:style w:type="paragraph" w:styleId="1167" w:customStyle="1">
    <w:name w:val="буквы"/>
    <w:basedOn w:val="940"/>
    <w:uiPriority w:val="99"/>
    <w:pPr>
      <w:numPr>
        <w:ilvl w:val="0"/>
        <w:numId w:val="14"/>
      </w:numPr>
      <w:ind w:left="1080"/>
      <w:jc w:val="both"/>
      <w:spacing w:line="360" w:lineRule="auto"/>
      <w:tabs>
        <w:tab w:val="clear" w:pos="360" w:leader="none"/>
        <w:tab w:val="num" w:pos="564" w:leader="none"/>
        <w:tab w:val="num" w:pos="1080" w:leader="none"/>
      </w:tabs>
    </w:pPr>
    <w:rPr>
      <w:sz w:val="28"/>
      <w:szCs w:val="20"/>
    </w:rPr>
  </w:style>
  <w:style w:type="character" w:styleId="1168" w:customStyle="1">
    <w:name w:val="Заголовок 5 Знак"/>
    <w:link w:val="945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styleId="1169" w:customStyle="1">
    <w:name w:val="Заголовок 6 Знак"/>
    <w:link w:val="946"/>
    <w:uiPriority w:val="99"/>
    <w:rPr>
      <w:i/>
      <w:iCs/>
    </w:rPr>
  </w:style>
  <w:style w:type="character" w:styleId="1170" w:customStyle="1">
    <w:name w:val="Заголовок 7 Знак"/>
    <w:link w:val="947"/>
    <w:uiPriority w:val="99"/>
    <w:rPr>
      <w:rFonts w:ascii="Arial" w:hAnsi="Arial" w:cs="Arial"/>
    </w:rPr>
  </w:style>
  <w:style w:type="character" w:styleId="1171" w:customStyle="1">
    <w:name w:val="Заголовок 8 Знак"/>
    <w:link w:val="948"/>
    <w:uiPriority w:val="99"/>
    <w:rPr>
      <w:rFonts w:ascii="Arial" w:hAnsi="Arial" w:cs="Arial"/>
      <w:i/>
      <w:iCs/>
    </w:rPr>
  </w:style>
  <w:style w:type="character" w:styleId="1172" w:customStyle="1">
    <w:name w:val="Заголовок 9 Знак"/>
    <w:link w:val="949"/>
    <w:uiPriority w:val="99"/>
    <w:rPr>
      <w:rFonts w:ascii="Arial" w:hAnsi="Arial" w:cs="Arial"/>
      <w:b/>
      <w:bCs/>
      <w:i/>
      <w:iCs/>
      <w:sz w:val="18"/>
      <w:szCs w:val="18"/>
    </w:rPr>
  </w:style>
  <w:style w:type="character" w:styleId="1173" w:customStyle="1">
    <w:name w:val="Заголовок 1 Знак1;Document Header1 Знак1;H1 Знак;Заголовок 1 Знак2 Знак Знак;Заголовок 1 Знак1 Знак Знак Знак;Заголовок 1 Знак Знак Знак Знак Знак;Заголовок 1 Знак Знак1 Знак Знак Знак;Заголовок 1 Знак Знак2 Знак Знак;Заголовок 1 Знак1 Знак1 Знак"/>
    <w:link w:val="1122"/>
    <w:rPr>
      <w:rFonts w:ascii="Arial" w:hAnsi="Arial"/>
      <w:b/>
      <w:sz w:val="40"/>
      <w:lang w:val="en-US" w:eastAsia="en-US"/>
    </w:rPr>
  </w:style>
  <w:style w:type="character" w:styleId="1174" w:customStyle="1">
    <w:name w:val="Заголовок 3 Знак"/>
    <w:link w:val="943"/>
    <w:uiPriority w:val="99"/>
    <w:rPr>
      <w:rFonts w:ascii="Arial" w:hAnsi="Arial" w:cs="Arial"/>
      <w:b/>
      <w:bCs/>
      <w:sz w:val="26"/>
      <w:szCs w:val="26"/>
    </w:rPr>
  </w:style>
  <w:style w:type="paragraph" w:styleId="1175" w:customStyle="1">
    <w:name w:val="Основной текст с отступом1"/>
    <w:basedOn w:val="940"/>
    <w:uiPriority w:val="99"/>
    <w:pPr>
      <w:ind w:firstLine="851"/>
      <w:jc w:val="both"/>
      <w:spacing w:before="60"/>
    </w:pPr>
  </w:style>
  <w:style w:type="paragraph" w:styleId="1176">
    <w:name w:val="Body Text Indent"/>
    <w:basedOn w:val="940"/>
    <w:link w:val="1177"/>
    <w:uiPriority w:val="99"/>
    <w:pPr>
      <w:numPr>
        <w:ilvl w:val="1"/>
        <w:numId w:val="18"/>
      </w:numPr>
      <w:jc w:val="both"/>
      <w:spacing w:after="60"/>
    </w:pPr>
    <w:rPr>
      <w:lang w:val="en-US" w:eastAsia="en-US"/>
    </w:rPr>
  </w:style>
  <w:style w:type="character" w:styleId="1177" w:customStyle="1">
    <w:name w:val="Основной текст с отступом Знак"/>
    <w:link w:val="1176"/>
    <w:uiPriority w:val="99"/>
    <w:rPr>
      <w:sz w:val="24"/>
      <w:szCs w:val="24"/>
      <w:lang w:val="en-US" w:eastAsia="en-US"/>
    </w:rPr>
  </w:style>
  <w:style w:type="paragraph" w:styleId="1178">
    <w:name w:val="List Bullet"/>
    <w:basedOn w:val="940"/>
    <w:uiPriority w:val="99"/>
    <w:pPr>
      <w:jc w:val="both"/>
      <w:spacing w:after="60"/>
      <w:widowControl w:val="off"/>
    </w:pPr>
  </w:style>
  <w:style w:type="paragraph" w:styleId="1179">
    <w:name w:val="List Bullet 2"/>
    <w:basedOn w:val="940"/>
    <w:uiPriority w:val="99"/>
    <w:pPr>
      <w:ind w:left="643" w:hanging="360"/>
      <w:jc w:val="both"/>
      <w:spacing w:after="60"/>
      <w:tabs>
        <w:tab w:val="num" w:pos="643" w:leader="none"/>
      </w:tabs>
    </w:pPr>
  </w:style>
  <w:style w:type="paragraph" w:styleId="1180">
    <w:name w:val="List Bullet 3"/>
    <w:basedOn w:val="940"/>
    <w:uiPriority w:val="99"/>
    <w:pPr>
      <w:ind w:left="926" w:hanging="360"/>
      <w:jc w:val="both"/>
      <w:spacing w:after="60"/>
      <w:tabs>
        <w:tab w:val="num" w:pos="643" w:leader="none"/>
        <w:tab w:val="num" w:pos="926" w:leader="none"/>
      </w:tabs>
    </w:pPr>
  </w:style>
  <w:style w:type="paragraph" w:styleId="1181">
    <w:name w:val="List Bullet 4"/>
    <w:basedOn w:val="940"/>
    <w:uiPriority w:val="99"/>
    <w:pPr>
      <w:ind w:left="1209" w:hanging="360"/>
      <w:jc w:val="both"/>
      <w:spacing w:after="60"/>
      <w:tabs>
        <w:tab w:val="num" w:pos="926" w:leader="none"/>
        <w:tab w:val="num" w:pos="1209" w:leader="none"/>
      </w:tabs>
    </w:pPr>
  </w:style>
  <w:style w:type="paragraph" w:styleId="1182">
    <w:name w:val="List Bullet 5"/>
    <w:basedOn w:val="940"/>
    <w:uiPriority w:val="99"/>
    <w:pPr>
      <w:ind w:left="1492" w:hanging="360"/>
      <w:jc w:val="both"/>
      <w:spacing w:after="60"/>
      <w:tabs>
        <w:tab w:val="num" w:pos="1209" w:leader="none"/>
        <w:tab w:val="num" w:pos="1492" w:leader="none"/>
      </w:tabs>
    </w:pPr>
  </w:style>
  <w:style w:type="paragraph" w:styleId="1183">
    <w:name w:val="List Number 2"/>
    <w:basedOn w:val="940"/>
    <w:uiPriority w:val="99"/>
    <w:pPr>
      <w:ind w:left="643" w:hanging="360"/>
      <w:jc w:val="both"/>
      <w:spacing w:after="60"/>
      <w:tabs>
        <w:tab w:val="num" w:pos="643" w:leader="none"/>
      </w:tabs>
    </w:pPr>
  </w:style>
  <w:style w:type="paragraph" w:styleId="1184">
    <w:name w:val="List Number 3"/>
    <w:basedOn w:val="940"/>
    <w:uiPriority w:val="99"/>
    <w:pPr>
      <w:ind w:left="926" w:hanging="360"/>
      <w:jc w:val="both"/>
      <w:spacing w:after="60"/>
      <w:tabs>
        <w:tab w:val="num" w:pos="643" w:leader="none"/>
        <w:tab w:val="num" w:pos="926" w:leader="none"/>
      </w:tabs>
    </w:pPr>
  </w:style>
  <w:style w:type="paragraph" w:styleId="1185">
    <w:name w:val="List Number 4"/>
    <w:basedOn w:val="940"/>
    <w:uiPriority w:val="99"/>
    <w:pPr>
      <w:ind w:left="1209" w:hanging="360"/>
      <w:jc w:val="both"/>
      <w:spacing w:after="60"/>
      <w:tabs>
        <w:tab w:val="num" w:pos="926" w:leader="none"/>
        <w:tab w:val="num" w:pos="1209" w:leader="none"/>
      </w:tabs>
    </w:pPr>
  </w:style>
  <w:style w:type="paragraph" w:styleId="1186">
    <w:name w:val="List Number 5"/>
    <w:basedOn w:val="940"/>
    <w:uiPriority w:val="99"/>
    <w:pPr>
      <w:ind w:left="1492" w:hanging="360"/>
      <w:jc w:val="both"/>
      <w:spacing w:after="60"/>
      <w:tabs>
        <w:tab w:val="num" w:pos="1209" w:leader="none"/>
        <w:tab w:val="num" w:pos="1492" w:leader="none"/>
      </w:tabs>
    </w:pPr>
  </w:style>
  <w:style w:type="paragraph" w:styleId="1187" w:customStyle="1">
    <w:name w:val="Раздел"/>
    <w:basedOn w:val="940"/>
    <w:uiPriority w:val="99"/>
    <w:semiHidden/>
    <w:pPr>
      <w:numPr>
        <w:ilvl w:val="1"/>
        <w:numId w:val="16"/>
      </w:numPr>
      <w:jc w:val="center"/>
      <w:spacing w:before="120" w:after="120"/>
    </w:pPr>
    <w:rPr>
      <w:rFonts w:ascii="Arial Narrow" w:hAnsi="Arial Narrow" w:cs="Arial Narrow"/>
      <w:b/>
      <w:bCs/>
      <w:sz w:val="28"/>
      <w:szCs w:val="28"/>
    </w:rPr>
  </w:style>
  <w:style w:type="paragraph" w:styleId="1188" w:customStyle="1">
    <w:name w:val="Часть"/>
    <w:basedOn w:val="940"/>
    <w:uiPriority w:val="99"/>
    <w:semiHidden/>
    <w:pPr>
      <w:jc w:val="center"/>
      <w:spacing w:after="60"/>
    </w:pPr>
    <w:rPr>
      <w:rFonts w:ascii="Arial" w:hAnsi="Arial" w:cs="Arial"/>
      <w:b/>
      <w:bCs/>
      <w:caps/>
      <w:sz w:val="32"/>
      <w:szCs w:val="32"/>
    </w:rPr>
  </w:style>
  <w:style w:type="paragraph" w:styleId="1189" w:customStyle="1">
    <w:name w:val="Раздел 3"/>
    <w:basedOn w:val="940"/>
    <w:uiPriority w:val="99"/>
    <w:semiHidden/>
    <w:pPr>
      <w:numPr>
        <w:ilvl w:val="0"/>
        <w:numId w:val="17"/>
      </w:numPr>
      <w:jc w:val="center"/>
      <w:spacing w:before="120" w:after="120"/>
    </w:pPr>
    <w:rPr>
      <w:b/>
      <w:bCs/>
    </w:rPr>
  </w:style>
  <w:style w:type="paragraph" w:styleId="1190" w:customStyle="1">
    <w:name w:val="Условия контракта"/>
    <w:basedOn w:val="940"/>
    <w:uiPriority w:val="99"/>
    <w:semiHidden/>
    <w:pPr>
      <w:numPr>
        <w:ilvl w:val="0"/>
        <w:numId w:val="18"/>
      </w:numPr>
      <w:jc w:val="both"/>
      <w:spacing w:before="240" w:after="120"/>
    </w:pPr>
    <w:rPr>
      <w:b/>
      <w:bCs/>
    </w:rPr>
  </w:style>
  <w:style w:type="paragraph" w:styleId="1191" w:customStyle="1">
    <w:name w:val="Instruction"/>
    <w:basedOn w:val="1176"/>
    <w:uiPriority w:val="99"/>
    <w:semiHidden/>
    <w:pPr>
      <w:numPr>
        <w:ilvl w:val="0"/>
        <w:numId w:val="0"/>
      </w:numPr>
      <w:ind w:left="360" w:hanging="360"/>
      <w:spacing w:before="180"/>
      <w:tabs>
        <w:tab w:val="num" w:pos="360" w:leader="none"/>
      </w:tabs>
    </w:pPr>
    <w:rPr>
      <w:b/>
      <w:bCs/>
    </w:rPr>
  </w:style>
  <w:style w:type="character" w:styleId="1192" w:customStyle="1">
    <w:name w:val="Название Знак"/>
    <w:uiPriority w:val="99"/>
    <w:rPr>
      <w:rFonts w:ascii="Cambria" w:hAnsi="Cambria" w:cs="Cambria"/>
      <w:b/>
      <w:bCs/>
      <w:sz w:val="32"/>
      <w:szCs w:val="32"/>
    </w:rPr>
  </w:style>
  <w:style w:type="character" w:styleId="1193" w:customStyle="1">
    <w:name w:val="Подзаголовок Знак"/>
    <w:link w:val="966"/>
    <w:uiPriority w:val="99"/>
    <w:rPr>
      <w:rFonts w:ascii="Cambria" w:hAnsi="Cambria" w:cs="Cambria"/>
      <w:sz w:val="24"/>
      <w:szCs w:val="24"/>
    </w:rPr>
  </w:style>
  <w:style w:type="paragraph" w:styleId="1194" w:customStyle="1">
    <w:name w:val="Тендерные данные"/>
    <w:basedOn w:val="940"/>
    <w:uiPriority w:val="99"/>
    <w:semiHidden/>
    <w:pPr>
      <w:jc w:val="both"/>
      <w:spacing w:before="120" w:after="60"/>
      <w:tabs>
        <w:tab w:val="left" w:pos="1985" w:leader="none"/>
      </w:tabs>
    </w:pPr>
    <w:rPr>
      <w:b/>
      <w:bCs/>
    </w:rPr>
  </w:style>
  <w:style w:type="paragraph" w:styleId="1195">
    <w:name w:val="Date"/>
    <w:basedOn w:val="940"/>
    <w:next w:val="940"/>
    <w:link w:val="1196"/>
    <w:uiPriority w:val="99"/>
    <w:pPr>
      <w:jc w:val="both"/>
      <w:spacing w:after="60"/>
    </w:pPr>
    <w:rPr>
      <w:lang w:val="en-US" w:eastAsia="en-US"/>
    </w:rPr>
  </w:style>
  <w:style w:type="character" w:styleId="1196" w:customStyle="1">
    <w:name w:val="Дата Знак"/>
    <w:link w:val="1195"/>
    <w:uiPriority w:val="99"/>
    <w:rPr>
      <w:sz w:val="24"/>
      <w:szCs w:val="24"/>
    </w:rPr>
  </w:style>
  <w:style w:type="paragraph" w:styleId="1197" w:customStyle="1">
    <w:name w:val="Îáû÷íûé"/>
    <w:uiPriority w:val="99"/>
    <w:semiHidden/>
    <w:rPr>
      <w:lang w:eastAsia="ru-RU"/>
    </w:rPr>
  </w:style>
  <w:style w:type="paragraph" w:styleId="1198" w:customStyle="1">
    <w:name w:val="Íîðìàëüíûé"/>
    <w:uiPriority w:val="99"/>
    <w:semiHidden/>
    <w:rPr>
      <w:rFonts w:ascii="Courier" w:hAnsi="Courier" w:cs="Courier"/>
      <w:sz w:val="24"/>
      <w:szCs w:val="24"/>
      <w:lang w:val="en-GB" w:eastAsia="ru-RU"/>
    </w:rPr>
  </w:style>
  <w:style w:type="paragraph" w:styleId="1199">
    <w:name w:val="Body Text"/>
    <w:basedOn w:val="940"/>
    <w:link w:val="1129"/>
    <w:uiPriority w:val="99"/>
    <w:pPr>
      <w:jc w:val="both"/>
      <w:spacing w:after="120"/>
    </w:pPr>
    <w:rPr>
      <w:sz w:val="28"/>
      <w:szCs w:val="28"/>
    </w:rPr>
  </w:style>
  <w:style w:type="character" w:styleId="1200" w:customStyle="1">
    <w:name w:val="Основной текст Знак1"/>
    <w:rPr>
      <w:sz w:val="24"/>
      <w:szCs w:val="24"/>
    </w:rPr>
  </w:style>
  <w:style w:type="paragraph" w:styleId="1201" w:customStyle="1">
    <w:name w:val="Подраздел"/>
    <w:basedOn w:val="940"/>
    <w:uiPriority w:val="99"/>
    <w:semiHidden/>
    <w:pPr>
      <w:jc w:val="center"/>
      <w:spacing w:before="240" w:after="120"/>
    </w:pPr>
    <w:rPr>
      <w:rFonts w:ascii="TimesDL" w:hAnsi="TimesDL" w:cs="TimesDL"/>
      <w:b/>
      <w:bCs/>
      <w:smallCaps/>
      <w:spacing w:val="-2"/>
    </w:rPr>
  </w:style>
  <w:style w:type="paragraph" w:styleId="1202">
    <w:name w:val="Body Text Indent 2"/>
    <w:basedOn w:val="940"/>
    <w:link w:val="1203"/>
    <w:uiPriority w:val="99"/>
    <w:pPr>
      <w:ind w:left="283"/>
      <w:jc w:val="both"/>
      <w:spacing w:after="120" w:line="480" w:lineRule="auto"/>
    </w:pPr>
    <w:rPr>
      <w:lang w:val="en-US" w:eastAsia="en-US"/>
    </w:rPr>
  </w:style>
  <w:style w:type="character" w:styleId="1203" w:customStyle="1">
    <w:name w:val="Основной текст с отступом 2 Знак"/>
    <w:link w:val="1202"/>
    <w:uiPriority w:val="99"/>
    <w:rPr>
      <w:sz w:val="24"/>
      <w:szCs w:val="24"/>
    </w:rPr>
  </w:style>
  <w:style w:type="paragraph" w:styleId="1204">
    <w:name w:val="Body Text Indent 3"/>
    <w:basedOn w:val="940"/>
    <w:link w:val="1205"/>
    <w:uiPriority w:val="99"/>
    <w:pPr>
      <w:ind w:left="283"/>
      <w:jc w:val="both"/>
      <w:spacing w:after="120"/>
    </w:pPr>
    <w:rPr>
      <w:sz w:val="16"/>
      <w:szCs w:val="16"/>
      <w:lang w:val="en-US" w:eastAsia="en-US"/>
    </w:rPr>
  </w:style>
  <w:style w:type="character" w:styleId="1205" w:customStyle="1">
    <w:name w:val="Основной текст с отступом 3 Знак"/>
    <w:link w:val="1204"/>
    <w:uiPriority w:val="99"/>
    <w:rPr>
      <w:sz w:val="16"/>
      <w:szCs w:val="16"/>
    </w:rPr>
  </w:style>
  <w:style w:type="character" w:styleId="1206" w:customStyle="1">
    <w:name w:val="Верхний колонтитул Знак"/>
    <w:link w:val="972"/>
    <w:uiPriority w:val="99"/>
    <w:rPr>
      <w:sz w:val="24"/>
      <w:szCs w:val="24"/>
    </w:rPr>
  </w:style>
  <w:style w:type="paragraph" w:styleId="1207">
    <w:name w:val="Block Text"/>
    <w:basedOn w:val="940"/>
    <w:uiPriority w:val="99"/>
    <w:pPr>
      <w:ind w:left="1440" w:right="1440"/>
      <w:jc w:val="both"/>
      <w:spacing w:after="120"/>
    </w:pPr>
  </w:style>
  <w:style w:type="character" w:styleId="1208" w:customStyle="1">
    <w:name w:val="Нижний колонтитул Знак"/>
    <w:link w:val="974"/>
    <w:uiPriority w:val="99"/>
    <w:rPr>
      <w:sz w:val="24"/>
      <w:szCs w:val="24"/>
    </w:rPr>
  </w:style>
  <w:style w:type="paragraph" w:styleId="1209">
    <w:name w:val="Body Text 3"/>
    <w:basedOn w:val="940"/>
    <w:link w:val="1210"/>
    <w:uiPriority w:val="99"/>
    <w:pPr>
      <w:jc w:val="both"/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  <w:lang w:val="en-US" w:eastAsia="en-US"/>
    </w:rPr>
  </w:style>
  <w:style w:type="character" w:styleId="1210" w:customStyle="1">
    <w:name w:val="Основной текст 3 Знак"/>
    <w:link w:val="1209"/>
    <w:uiPriority w:val="99"/>
    <w:rPr>
      <w:sz w:val="16"/>
      <w:szCs w:val="16"/>
    </w:rPr>
  </w:style>
  <w:style w:type="paragraph" w:styleId="1211">
    <w:name w:val="Plain Text"/>
    <w:basedOn w:val="940"/>
    <w:link w:val="1212"/>
    <w:rPr>
      <w:rFonts w:ascii="Courier New" w:hAnsi="Courier New"/>
      <w:sz w:val="20"/>
      <w:szCs w:val="20"/>
      <w:lang w:val="en-US" w:eastAsia="en-US"/>
    </w:rPr>
  </w:style>
  <w:style w:type="character" w:styleId="1212" w:customStyle="1">
    <w:name w:val="Текст Знак"/>
    <w:link w:val="1211"/>
    <w:rPr>
      <w:rFonts w:ascii="Courier New" w:hAnsi="Courier New" w:cs="Courier New"/>
    </w:rPr>
  </w:style>
  <w:style w:type="paragraph" w:styleId="1213" w:customStyle="1">
    <w:name w:val="ConsNormal"/>
    <w:pPr>
      <w:ind w:right="19772" w:firstLine="720"/>
      <w:widowControl w:val="off"/>
    </w:pPr>
    <w:rPr>
      <w:rFonts w:ascii="Arial" w:hAnsi="Arial" w:cs="Arial"/>
      <w:lang w:eastAsia="ru-RU"/>
    </w:rPr>
  </w:style>
  <w:style w:type="character" w:styleId="1214" w:customStyle="1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1215" w:customStyle="1">
    <w:name w:val="ConsNonformat"/>
    <w:uiPriority w:val="99"/>
    <w:semiHidden/>
    <w:pPr>
      <w:ind w:right="19772"/>
      <w:widowControl w:val="off"/>
    </w:pPr>
    <w:rPr>
      <w:rFonts w:ascii="Courier New" w:hAnsi="Courier New" w:cs="Courier New"/>
      <w:lang w:eastAsia="ru-RU"/>
    </w:rPr>
  </w:style>
  <w:style w:type="character" w:styleId="1216" w:customStyle="1">
    <w:name w:val="Основной шрифт"/>
    <w:uiPriority w:val="99"/>
    <w:semiHidden/>
  </w:style>
  <w:style w:type="paragraph" w:styleId="1217">
    <w:name w:val="HTML Address"/>
    <w:basedOn w:val="940"/>
    <w:link w:val="1218"/>
    <w:uiPriority w:val="99"/>
    <w:pPr>
      <w:jc w:val="both"/>
      <w:spacing w:after="60"/>
    </w:pPr>
    <w:rPr>
      <w:i/>
      <w:iCs/>
      <w:lang w:val="en-US" w:eastAsia="en-US"/>
    </w:rPr>
  </w:style>
  <w:style w:type="character" w:styleId="1218" w:customStyle="1">
    <w:name w:val="Адрес HTML Знак"/>
    <w:link w:val="1217"/>
    <w:uiPriority w:val="99"/>
    <w:rPr>
      <w:i/>
      <w:iCs/>
      <w:sz w:val="24"/>
      <w:szCs w:val="24"/>
    </w:rPr>
  </w:style>
  <w:style w:type="paragraph" w:styleId="1219">
    <w:name w:val="envelope address"/>
    <w:basedOn w:val="940"/>
    <w:uiPriority w:val="99"/>
    <w:pPr>
      <w:ind w:left="2880"/>
      <w:jc w:val="both"/>
      <w:spacing w:after="6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220">
    <w:name w:val="HTML Acronym"/>
    <w:uiPriority w:val="99"/>
  </w:style>
  <w:style w:type="paragraph" w:styleId="1221">
    <w:name w:val="Note Heading"/>
    <w:basedOn w:val="940"/>
    <w:next w:val="940"/>
    <w:link w:val="1222"/>
    <w:uiPriority w:val="99"/>
    <w:pPr>
      <w:jc w:val="both"/>
      <w:spacing w:after="60"/>
    </w:pPr>
    <w:rPr>
      <w:lang w:val="en-US" w:eastAsia="en-US"/>
    </w:rPr>
  </w:style>
  <w:style w:type="character" w:styleId="1222" w:customStyle="1">
    <w:name w:val="Заголовок записки Знак"/>
    <w:link w:val="1221"/>
    <w:uiPriority w:val="99"/>
    <w:rPr>
      <w:sz w:val="24"/>
      <w:szCs w:val="24"/>
    </w:rPr>
  </w:style>
  <w:style w:type="character" w:styleId="1223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224">
    <w:name w:val="HTML Code"/>
    <w:uiPriority w:val="99"/>
    <w:rPr>
      <w:rFonts w:ascii="Courier New" w:hAnsi="Courier New" w:cs="Courier New"/>
      <w:sz w:val="20"/>
      <w:szCs w:val="20"/>
    </w:rPr>
  </w:style>
  <w:style w:type="paragraph" w:styleId="1225">
    <w:name w:val="Body Text First Indent"/>
    <w:basedOn w:val="1199"/>
    <w:link w:val="1226"/>
    <w:uiPriority w:val="99"/>
    <w:pPr>
      <w:ind w:firstLine="210"/>
    </w:pPr>
    <w:rPr>
      <w:lang w:val="en-US" w:eastAsia="en-US"/>
    </w:rPr>
  </w:style>
  <w:style w:type="character" w:styleId="1226" w:customStyle="1">
    <w:name w:val="Красная строка Знак"/>
    <w:link w:val="1225"/>
    <w:uiPriority w:val="99"/>
    <w:rPr>
      <w:sz w:val="28"/>
      <w:szCs w:val="28"/>
    </w:rPr>
  </w:style>
  <w:style w:type="paragraph" w:styleId="1227">
    <w:name w:val="Body Text First Indent 2"/>
    <w:basedOn w:val="1175"/>
    <w:link w:val="1228"/>
    <w:uiPriority w:val="99"/>
    <w:pPr>
      <w:ind w:left="283" w:firstLine="210"/>
      <w:spacing w:before="0" w:after="120"/>
    </w:pPr>
  </w:style>
  <w:style w:type="character" w:styleId="1228" w:customStyle="1">
    <w:name w:val="Красная строка 2 Знак"/>
    <w:basedOn w:val="1177"/>
    <w:link w:val="1227"/>
    <w:uiPriority w:val="99"/>
    <w:rPr>
      <w:sz w:val="24"/>
      <w:szCs w:val="24"/>
      <w:lang w:val="en-US" w:eastAsia="en-US"/>
    </w:rPr>
  </w:style>
  <w:style w:type="character" w:styleId="1229">
    <w:name w:val="line number"/>
    <w:uiPriority w:val="99"/>
  </w:style>
  <w:style w:type="character" w:styleId="1230">
    <w:name w:val="HTML Sample"/>
    <w:uiPriority w:val="99"/>
    <w:rPr>
      <w:rFonts w:ascii="Courier New" w:hAnsi="Courier New" w:cs="Courier New"/>
    </w:rPr>
  </w:style>
  <w:style w:type="paragraph" w:styleId="1231">
    <w:name w:val="envelope return"/>
    <w:basedOn w:val="940"/>
    <w:uiPriority w:val="99"/>
    <w:pPr>
      <w:jc w:val="both"/>
      <w:spacing w:after="60"/>
    </w:pPr>
    <w:rPr>
      <w:rFonts w:ascii="Arial" w:hAnsi="Arial" w:cs="Arial"/>
      <w:sz w:val="20"/>
      <w:szCs w:val="20"/>
    </w:rPr>
  </w:style>
  <w:style w:type="paragraph" w:styleId="1232">
    <w:name w:val="Normal Indent"/>
    <w:basedOn w:val="940"/>
    <w:uiPriority w:val="99"/>
    <w:pPr>
      <w:ind w:left="708"/>
      <w:jc w:val="both"/>
      <w:spacing w:after="60"/>
    </w:pPr>
  </w:style>
  <w:style w:type="character" w:styleId="1233">
    <w:name w:val="HTML Definition"/>
    <w:uiPriority w:val="99"/>
    <w:rPr>
      <w:i/>
      <w:iCs/>
    </w:rPr>
  </w:style>
  <w:style w:type="character" w:styleId="1234">
    <w:name w:val="HTML Variable"/>
    <w:uiPriority w:val="99"/>
    <w:rPr>
      <w:i/>
      <w:iCs/>
    </w:rPr>
  </w:style>
  <w:style w:type="character" w:styleId="1235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236">
    <w:name w:val="Signature"/>
    <w:basedOn w:val="940"/>
    <w:link w:val="1237"/>
    <w:uiPriority w:val="99"/>
    <w:pPr>
      <w:ind w:left="4252"/>
      <w:jc w:val="both"/>
      <w:spacing w:after="60"/>
    </w:pPr>
    <w:rPr>
      <w:lang w:val="en-US" w:eastAsia="en-US"/>
    </w:rPr>
  </w:style>
  <w:style w:type="character" w:styleId="1237" w:customStyle="1">
    <w:name w:val="Подпись Знак"/>
    <w:link w:val="1236"/>
    <w:uiPriority w:val="99"/>
    <w:rPr>
      <w:sz w:val="24"/>
      <w:szCs w:val="24"/>
    </w:rPr>
  </w:style>
  <w:style w:type="paragraph" w:styleId="1238">
    <w:name w:val="Salutation"/>
    <w:basedOn w:val="940"/>
    <w:next w:val="940"/>
    <w:link w:val="1239"/>
    <w:uiPriority w:val="99"/>
    <w:pPr>
      <w:jc w:val="both"/>
      <w:spacing w:after="60"/>
    </w:pPr>
    <w:rPr>
      <w:lang w:val="en-US" w:eastAsia="en-US"/>
    </w:rPr>
  </w:style>
  <w:style w:type="character" w:styleId="1239" w:customStyle="1">
    <w:name w:val="Приветствие Знак"/>
    <w:link w:val="1238"/>
    <w:uiPriority w:val="99"/>
    <w:rPr>
      <w:sz w:val="24"/>
      <w:szCs w:val="24"/>
    </w:rPr>
  </w:style>
  <w:style w:type="paragraph" w:styleId="1240">
    <w:name w:val="List Continue"/>
    <w:basedOn w:val="940"/>
    <w:uiPriority w:val="99"/>
    <w:pPr>
      <w:ind w:left="283"/>
      <w:jc w:val="both"/>
      <w:spacing w:after="120"/>
    </w:pPr>
  </w:style>
  <w:style w:type="paragraph" w:styleId="1241">
    <w:name w:val="List Continue 2"/>
    <w:basedOn w:val="940"/>
    <w:uiPriority w:val="99"/>
    <w:pPr>
      <w:ind w:left="566"/>
      <w:jc w:val="both"/>
      <w:spacing w:after="120"/>
    </w:pPr>
  </w:style>
  <w:style w:type="paragraph" w:styleId="1242">
    <w:name w:val="List Continue 3"/>
    <w:basedOn w:val="940"/>
    <w:uiPriority w:val="99"/>
    <w:pPr>
      <w:ind w:left="849"/>
      <w:jc w:val="both"/>
      <w:spacing w:after="120"/>
    </w:pPr>
  </w:style>
  <w:style w:type="paragraph" w:styleId="1243">
    <w:name w:val="List Continue 4"/>
    <w:basedOn w:val="940"/>
    <w:uiPriority w:val="99"/>
    <w:pPr>
      <w:ind w:left="1132"/>
      <w:jc w:val="both"/>
      <w:spacing w:after="120"/>
    </w:pPr>
  </w:style>
  <w:style w:type="paragraph" w:styleId="1244">
    <w:name w:val="List Continue 5"/>
    <w:basedOn w:val="940"/>
    <w:uiPriority w:val="99"/>
    <w:pPr>
      <w:ind w:left="1415"/>
      <w:jc w:val="both"/>
      <w:spacing w:after="120"/>
    </w:pPr>
  </w:style>
  <w:style w:type="paragraph" w:styleId="1245">
    <w:name w:val="Closing"/>
    <w:basedOn w:val="940"/>
    <w:link w:val="1246"/>
    <w:uiPriority w:val="99"/>
    <w:pPr>
      <w:ind w:left="4252"/>
      <w:jc w:val="both"/>
      <w:spacing w:after="60"/>
    </w:pPr>
    <w:rPr>
      <w:lang w:val="en-US" w:eastAsia="en-US"/>
    </w:rPr>
  </w:style>
  <w:style w:type="character" w:styleId="1246" w:customStyle="1">
    <w:name w:val="Прощание Знак"/>
    <w:link w:val="1245"/>
    <w:uiPriority w:val="99"/>
    <w:rPr>
      <w:sz w:val="24"/>
      <w:szCs w:val="24"/>
    </w:rPr>
  </w:style>
  <w:style w:type="paragraph" w:styleId="1247">
    <w:name w:val="List"/>
    <w:basedOn w:val="940"/>
    <w:uiPriority w:val="99"/>
    <w:pPr>
      <w:ind w:left="283" w:hanging="283"/>
      <w:jc w:val="both"/>
      <w:spacing w:after="60"/>
    </w:pPr>
  </w:style>
  <w:style w:type="paragraph" w:styleId="1248">
    <w:name w:val="List 2"/>
    <w:basedOn w:val="940"/>
    <w:uiPriority w:val="99"/>
    <w:pPr>
      <w:ind w:left="566" w:hanging="283"/>
      <w:jc w:val="both"/>
      <w:spacing w:after="60"/>
    </w:pPr>
  </w:style>
  <w:style w:type="paragraph" w:styleId="1249">
    <w:name w:val="List 3"/>
    <w:basedOn w:val="940"/>
    <w:uiPriority w:val="99"/>
    <w:pPr>
      <w:ind w:left="849" w:hanging="283"/>
      <w:jc w:val="both"/>
      <w:spacing w:after="60"/>
    </w:pPr>
  </w:style>
  <w:style w:type="paragraph" w:styleId="1250">
    <w:name w:val="List 4"/>
    <w:basedOn w:val="940"/>
    <w:uiPriority w:val="99"/>
    <w:pPr>
      <w:ind w:left="1132" w:hanging="283"/>
      <w:jc w:val="both"/>
      <w:spacing w:after="60"/>
    </w:pPr>
  </w:style>
  <w:style w:type="paragraph" w:styleId="1251">
    <w:name w:val="List 5"/>
    <w:basedOn w:val="940"/>
    <w:uiPriority w:val="99"/>
    <w:pPr>
      <w:ind w:left="1415" w:hanging="283"/>
      <w:jc w:val="both"/>
      <w:spacing w:after="60"/>
    </w:pPr>
  </w:style>
  <w:style w:type="paragraph" w:styleId="1252">
    <w:name w:val="HTML Preformatted"/>
    <w:basedOn w:val="940"/>
    <w:link w:val="1253"/>
    <w:uiPriority w:val="99"/>
    <w:pPr>
      <w:jc w:val="both"/>
      <w:spacing w:after="60"/>
    </w:pPr>
    <w:rPr>
      <w:rFonts w:ascii="Courier New" w:hAnsi="Courier New"/>
      <w:sz w:val="20"/>
      <w:szCs w:val="20"/>
      <w:lang w:val="en-US" w:eastAsia="en-US"/>
    </w:rPr>
  </w:style>
  <w:style w:type="character" w:styleId="1253" w:customStyle="1">
    <w:name w:val="Стандартный HTML Знак"/>
    <w:link w:val="1252"/>
    <w:uiPriority w:val="99"/>
    <w:rPr>
      <w:rFonts w:ascii="Courier New" w:hAnsi="Courier New" w:cs="Courier New"/>
    </w:rPr>
  </w:style>
  <w:style w:type="character" w:styleId="1254">
    <w:name w:val="Strong"/>
    <w:uiPriority w:val="99"/>
    <w:qFormat/>
    <w:rPr>
      <w:b/>
      <w:bCs/>
    </w:rPr>
  </w:style>
  <w:style w:type="character" w:styleId="1255">
    <w:name w:val="HTML Cite"/>
    <w:uiPriority w:val="99"/>
    <w:rPr>
      <w:i/>
      <w:iCs/>
    </w:rPr>
  </w:style>
  <w:style w:type="paragraph" w:styleId="1256">
    <w:name w:val="Message Header"/>
    <w:basedOn w:val="940"/>
    <w:link w:val="1257"/>
    <w:uiPriority w:val="99"/>
    <w:pPr>
      <w:ind w:left="1134" w:hanging="1134"/>
      <w:jc w:val="both"/>
      <w:spacing w:after="60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/>
      <w:lang w:val="en-US" w:eastAsia="en-US"/>
    </w:rPr>
  </w:style>
  <w:style w:type="character" w:styleId="1257" w:customStyle="1">
    <w:name w:val="Шапка Знак"/>
    <w:link w:val="1256"/>
    <w:uiPriority w:val="99"/>
    <w:rPr>
      <w:rFonts w:ascii="Cambria" w:hAnsi="Cambria" w:cs="Cambria"/>
      <w:sz w:val="24"/>
      <w:szCs w:val="24"/>
      <w:shd w:val="pct20" w:color="auto" w:fill="auto"/>
    </w:rPr>
  </w:style>
  <w:style w:type="paragraph" w:styleId="1258">
    <w:name w:val="E-mail Signature"/>
    <w:basedOn w:val="940"/>
    <w:link w:val="1259"/>
    <w:uiPriority w:val="99"/>
    <w:pPr>
      <w:jc w:val="both"/>
      <w:spacing w:after="60"/>
    </w:pPr>
    <w:rPr>
      <w:lang w:val="en-US" w:eastAsia="en-US"/>
    </w:rPr>
  </w:style>
  <w:style w:type="character" w:styleId="1259" w:customStyle="1">
    <w:name w:val="Электронная подпись Знак"/>
    <w:link w:val="1258"/>
    <w:uiPriority w:val="99"/>
    <w:rPr>
      <w:sz w:val="24"/>
      <w:szCs w:val="24"/>
    </w:rPr>
  </w:style>
  <w:style w:type="paragraph" w:styleId="1260" w:customStyle="1">
    <w:name w:val="содержание2-1"/>
    <w:basedOn w:val="943"/>
    <w:next w:val="940"/>
    <w:uiPriority w:val="99"/>
    <w:pPr>
      <w:ind w:left="142"/>
      <w:jc w:val="both"/>
      <w:tabs>
        <w:tab w:val="num" w:pos="312" w:leader="none"/>
      </w:tabs>
    </w:pPr>
    <w:rPr>
      <w:sz w:val="24"/>
      <w:szCs w:val="24"/>
    </w:rPr>
  </w:style>
  <w:style w:type="paragraph" w:styleId="1261" w:customStyle="1">
    <w:name w:val="Заголовок 2.1"/>
    <w:basedOn w:val="1122"/>
    <w:uiPriority w:val="99"/>
    <w:pPr>
      <w:numPr>
        <w:ilvl w:val="0"/>
        <w:numId w:val="0"/>
      </w:numPr>
      <w:ind w:left="432" w:hanging="432"/>
      <w:jc w:val="center"/>
      <w:pageBreakBefore w:val="0"/>
      <w:spacing w:before="240" w:after="60"/>
      <w:widowControl w:val="off"/>
      <w:tabs>
        <w:tab w:val="num" w:pos="432" w:leader="none"/>
      </w:tabs>
      <w:suppressLineNumbers/>
    </w:pPr>
    <w:rPr>
      <w:rFonts w:ascii="Times New Roman" w:hAnsi="Times New Roman"/>
      <w:bCs/>
      <w:caps/>
      <w:sz w:val="36"/>
      <w:szCs w:val="36"/>
    </w:rPr>
  </w:style>
  <w:style w:type="paragraph" w:styleId="1262" w:customStyle="1">
    <w:name w:val="Стиль2"/>
    <w:basedOn w:val="1183"/>
    <w:uiPriority w:val="99"/>
    <w:pPr>
      <w:ind w:left="1836" w:hanging="576"/>
      <w:keepLines/>
      <w:keepNext/>
      <w:widowControl w:val="off"/>
      <w:tabs>
        <w:tab w:val="clear" w:pos="643" w:leader="none"/>
        <w:tab w:val="num" w:pos="1492" w:leader="none"/>
        <w:tab w:val="num" w:pos="1836" w:leader="none"/>
      </w:tabs>
      <w:suppressLineNumbers/>
    </w:pPr>
    <w:rPr>
      <w:b/>
      <w:bCs/>
    </w:rPr>
  </w:style>
  <w:style w:type="paragraph" w:styleId="1263" w:customStyle="1">
    <w:name w:val="Стиль3"/>
    <w:basedOn w:val="1202"/>
    <w:uiPriority w:val="99"/>
    <w:pPr>
      <w:ind w:left="1080"/>
      <w:spacing w:after="0" w:line="240" w:lineRule="auto"/>
      <w:widowControl w:val="off"/>
      <w:tabs>
        <w:tab w:val="num" w:pos="1307" w:leader="none"/>
      </w:tabs>
    </w:pPr>
  </w:style>
  <w:style w:type="paragraph" w:styleId="1264" w:customStyle="1">
    <w:name w:val="содержание2-11"/>
    <w:basedOn w:val="940"/>
    <w:uiPriority w:val="99"/>
    <w:pPr>
      <w:jc w:val="both"/>
      <w:spacing w:after="60"/>
    </w:pPr>
  </w:style>
  <w:style w:type="character" w:styleId="1265" w:customStyle="1">
    <w:name w:val="Знак Знак1"/>
    <w:uiPriority w:val="99"/>
    <w:rPr>
      <w:sz w:val="24"/>
      <w:szCs w:val="24"/>
      <w:lang w:val="ru-RU" w:eastAsia="ru-RU"/>
    </w:rPr>
  </w:style>
  <w:style w:type="character" w:styleId="1266" w:customStyle="1">
    <w:name w:val="Стиль3 Знак"/>
    <w:uiPriority w:val="99"/>
    <w:rPr>
      <w:sz w:val="24"/>
      <w:szCs w:val="24"/>
      <w:lang w:val="ru-RU" w:eastAsia="ru-RU"/>
    </w:rPr>
  </w:style>
  <w:style w:type="paragraph" w:styleId="1267" w:customStyle="1">
    <w:name w:val="Стиль4"/>
    <w:basedOn w:val="1123"/>
    <w:next w:val="940"/>
    <w:uiPriority w:val="99"/>
    <w:pPr>
      <w:ind w:left="576" w:firstLine="567"/>
      <w:jc w:val="center"/>
      <w:keepLines/>
      <w:spacing w:before="0" w:after="60"/>
      <w:widowControl w:val="off"/>
      <w:tabs>
        <w:tab w:val="num" w:pos="576" w:leader="none"/>
      </w:tabs>
      <w:suppressLineNumbers/>
    </w:pPr>
    <w:rPr>
      <w:bCs/>
      <w:sz w:val="30"/>
      <w:szCs w:val="30"/>
    </w:rPr>
  </w:style>
  <w:style w:type="paragraph" w:styleId="1268" w:customStyle="1">
    <w:name w:val="Таблица заголовок"/>
    <w:basedOn w:val="940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269" w:customStyle="1">
    <w:name w:val="текст таблицы"/>
    <w:basedOn w:val="940"/>
    <w:uiPriority w:val="99"/>
    <w:pPr>
      <w:ind w:right="-102"/>
      <w:spacing w:before="120"/>
    </w:pPr>
  </w:style>
  <w:style w:type="paragraph" w:styleId="1270" w:customStyle="1">
    <w:name w:val="Пункт Знак"/>
    <w:basedOn w:val="940"/>
    <w:uiPriority w:val="99"/>
    <w:pPr>
      <w:ind w:left="1134" w:hanging="567"/>
      <w:jc w:val="both"/>
      <w:spacing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271" w:customStyle="1">
    <w:name w:val="a"/>
    <w:basedOn w:val="940"/>
    <w:uiPriority w:val="99"/>
    <w:pPr>
      <w:ind w:left="1134" w:hanging="567"/>
      <w:jc w:val="both"/>
      <w:spacing w:line="360" w:lineRule="auto"/>
    </w:pPr>
    <w:rPr>
      <w:sz w:val="28"/>
      <w:szCs w:val="28"/>
    </w:rPr>
  </w:style>
  <w:style w:type="paragraph" w:styleId="1272" w:customStyle="1">
    <w:name w:val="Словарная статья"/>
    <w:basedOn w:val="940"/>
    <w:next w:val="940"/>
    <w:uiPriority w:val="99"/>
    <w:pPr>
      <w:ind w:right="118"/>
      <w:jc w:val="both"/>
    </w:pPr>
    <w:rPr>
      <w:rFonts w:ascii="Arial" w:hAnsi="Arial" w:cs="Arial"/>
      <w:sz w:val="20"/>
      <w:szCs w:val="20"/>
    </w:rPr>
  </w:style>
  <w:style w:type="paragraph" w:styleId="1273" w:customStyle="1">
    <w:name w:val="Комментарий пользователя"/>
    <w:basedOn w:val="940"/>
    <w:next w:val="940"/>
    <w:uiPriority w:val="99"/>
    <w:pPr>
      <w:ind w:left="170"/>
    </w:pPr>
    <w:rPr>
      <w:rFonts w:ascii="Arial" w:hAnsi="Arial" w:cs="Arial"/>
      <w:i/>
      <w:iCs/>
      <w:color w:val="000080"/>
      <w:sz w:val="20"/>
      <w:szCs w:val="20"/>
    </w:rPr>
  </w:style>
  <w:style w:type="character" w:styleId="1274" w:customStyle="1">
    <w:name w:val="Стиль3 Знак Знак"/>
    <w:uiPriority w:val="99"/>
    <w:rPr>
      <w:sz w:val="24"/>
      <w:szCs w:val="24"/>
      <w:lang w:val="ru-RU" w:eastAsia="ru-RU"/>
    </w:rPr>
  </w:style>
  <w:style w:type="character" w:styleId="1275" w:customStyle="1">
    <w:name w:val="Текст выноски Знак"/>
    <w:link w:val="1147"/>
    <w:uiPriority w:val="99"/>
    <w:semiHidden/>
    <w:rPr>
      <w:rFonts w:ascii="Tahoma" w:hAnsi="Tahoma" w:cs="Tahoma"/>
      <w:sz w:val="16"/>
      <w:szCs w:val="16"/>
    </w:rPr>
  </w:style>
  <w:style w:type="character" w:styleId="1276" w:customStyle="1">
    <w:name w:val="label_body_text_1"/>
    <w:uiPriority w:val="99"/>
  </w:style>
  <w:style w:type="paragraph" w:styleId="1277" w:customStyle="1">
    <w:name w:val="Заголовок 1.Document Header1"/>
    <w:basedOn w:val="940"/>
    <w:next w:val="940"/>
    <w:uiPriority w:val="99"/>
    <w:pPr>
      <w:jc w:val="center"/>
      <w:keepNext/>
      <w:spacing w:before="240" w:after="60"/>
      <w:outlineLvl w:val="0"/>
    </w:pPr>
    <w:rPr>
      <w:sz w:val="36"/>
      <w:szCs w:val="36"/>
    </w:rPr>
  </w:style>
  <w:style w:type="character" w:styleId="1278" w:customStyle="1">
    <w:name w:val="Знак Знак11"/>
    <w:uiPriority w:val="99"/>
    <w:rPr>
      <w:sz w:val="24"/>
      <w:szCs w:val="24"/>
      <w:lang w:val="ru-RU" w:eastAsia="ru-RU"/>
    </w:rPr>
  </w:style>
  <w:style w:type="paragraph" w:styleId="1279" w:customStyle="1">
    <w:name w:val="20"/>
    <w:basedOn w:val="940"/>
    <w:uiPriority w:val="99"/>
    <w:pPr>
      <w:ind w:left="104" w:right="104"/>
      <w:spacing w:before="104" w:after="104"/>
    </w:pPr>
  </w:style>
  <w:style w:type="character" w:styleId="1280" w:customStyle="1">
    <w:name w:val="Заголовок 1 Знак;Document Header1 Знак"/>
    <w:rPr>
      <w:b/>
      <w:bCs/>
      <w:sz w:val="36"/>
      <w:szCs w:val="36"/>
      <w:lang w:val="ru-RU" w:eastAsia="ru-RU"/>
    </w:rPr>
  </w:style>
  <w:style w:type="character" w:styleId="1281" w:customStyle="1">
    <w:name w:val="Схема документа Знак"/>
    <w:link w:val="1144"/>
    <w:uiPriority w:val="99"/>
    <w:semiHidden/>
    <w:rPr>
      <w:rFonts w:ascii="Tahoma" w:hAnsi="Tahoma" w:cs="Tahoma"/>
      <w:sz w:val="24"/>
      <w:szCs w:val="24"/>
      <w:shd w:val="clear" w:color="auto" w:fill="000080"/>
    </w:rPr>
  </w:style>
  <w:style w:type="paragraph" w:styleId="1282" w:customStyle="1">
    <w:name w:val="Таблица шапка"/>
    <w:basedOn w:val="940"/>
    <w:pPr>
      <w:ind w:left="57" w:right="57"/>
      <w:keepNext/>
      <w:spacing w:before="40" w:after="40"/>
    </w:pPr>
    <w:rPr>
      <w:sz w:val="18"/>
      <w:szCs w:val="18"/>
    </w:rPr>
  </w:style>
  <w:style w:type="paragraph" w:styleId="1283" w:customStyle="1">
    <w:name w:val="Таблица текст"/>
    <w:basedOn w:val="940"/>
    <w:pPr>
      <w:ind w:left="57" w:right="57"/>
      <w:spacing w:before="40" w:after="40"/>
    </w:pPr>
    <w:rPr>
      <w:sz w:val="22"/>
      <w:szCs w:val="22"/>
    </w:rPr>
  </w:style>
  <w:style w:type="paragraph" w:styleId="1284" w:customStyle="1">
    <w:name w:val="пункт"/>
    <w:basedOn w:val="940"/>
    <w:uiPriority w:val="99"/>
    <w:pPr>
      <w:numPr>
        <w:ilvl w:val="2"/>
        <w:numId w:val="19"/>
      </w:numPr>
      <w:spacing w:before="60" w:after="60"/>
    </w:pPr>
  </w:style>
  <w:style w:type="character" w:styleId="1285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286">
    <w:name w:val="index 1"/>
    <w:basedOn w:val="940"/>
    <w:next w:val="940"/>
    <w:uiPriority w:val="99"/>
    <w:pPr>
      <w:ind w:left="240" w:hanging="240"/>
      <w:jc w:val="both"/>
      <w:spacing w:after="60"/>
    </w:pPr>
  </w:style>
  <w:style w:type="paragraph" w:styleId="1287" w:customStyle="1">
    <w:name w:val="Обычный1"/>
    <w:uiPriority w:val="99"/>
    <w:rPr>
      <w:sz w:val="24"/>
      <w:szCs w:val="24"/>
      <w:lang w:eastAsia="ru-RU"/>
    </w:rPr>
  </w:style>
  <w:style w:type="paragraph" w:styleId="1288" w:customStyle="1">
    <w:name w:val="ConsPlusNonformat"/>
    <w:uiPriority w:val="99"/>
    <w:pPr>
      <w:widowControl w:val="off"/>
    </w:pPr>
    <w:rPr>
      <w:rFonts w:ascii="Courier New" w:hAnsi="Courier New" w:cs="Courier New"/>
      <w:lang w:eastAsia="ru-RU"/>
    </w:rPr>
  </w:style>
  <w:style w:type="character" w:styleId="1289" w:customStyle="1">
    <w:name w:val="Текст концевой сноски Знак"/>
    <w:basedOn w:val="1124"/>
    <w:link w:val="1108"/>
    <w:uiPriority w:val="99"/>
  </w:style>
  <w:style w:type="paragraph" w:styleId="1290" w:customStyle="1">
    <w:name w:val="Основной текст с отступом11"/>
    <w:basedOn w:val="940"/>
    <w:uiPriority w:val="99"/>
    <w:pPr>
      <w:ind w:firstLine="851"/>
      <w:jc w:val="both"/>
      <w:spacing w:before="60"/>
    </w:pPr>
  </w:style>
  <w:style w:type="character" w:styleId="1291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character" w:styleId="1292">
    <w:name w:val="Placeholder Text"/>
    <w:uiPriority w:val="99"/>
    <w:semiHidden/>
    <w:rPr>
      <w:color w:val="808080"/>
    </w:rPr>
  </w:style>
  <w:style w:type="character" w:styleId="1293" w:customStyle="1">
    <w:name w:val="f"/>
  </w:style>
  <w:style w:type="character" w:styleId="1294" w:customStyle="1">
    <w:name w:val="r"/>
  </w:style>
  <w:style w:type="paragraph" w:styleId="1295">
    <w:name w:val="Body Text 2"/>
    <w:basedOn w:val="940"/>
    <w:link w:val="1296"/>
    <w:pPr>
      <w:jc w:val="both"/>
      <w:spacing w:after="120" w:line="480" w:lineRule="auto"/>
    </w:pPr>
    <w:rPr>
      <w:lang w:val="en-US" w:eastAsia="en-US"/>
    </w:rPr>
  </w:style>
  <w:style w:type="character" w:styleId="1296" w:customStyle="1">
    <w:name w:val="Основной текст 2 Знак"/>
    <w:link w:val="1295"/>
    <w:rPr>
      <w:sz w:val="24"/>
      <w:szCs w:val="24"/>
    </w:rPr>
  </w:style>
  <w:style w:type="paragraph" w:styleId="1297" w:customStyle="1">
    <w:name w:val="Iniiaiie oaeno"/>
    <w:basedOn w:val="940"/>
    <w:uiPriority w:val="99"/>
    <w:pPr>
      <w:jc w:val="center"/>
    </w:pPr>
    <w:rPr>
      <w:rFonts w:ascii="Arial" w:hAnsi="Arial" w:cs="Arial"/>
    </w:rPr>
  </w:style>
  <w:style w:type="paragraph" w:styleId="1298" w:customStyle="1">
    <w:name w:val="Абзац списка1"/>
    <w:basedOn w:val="940"/>
    <w:pPr>
      <w:contextualSpacing/>
      <w:ind w:left="720"/>
    </w:pPr>
    <w:rPr>
      <w:rFonts w:ascii="Cambria" w:hAnsi="Cambria" w:eastAsia="MS Mincho"/>
    </w:rPr>
  </w:style>
  <w:style w:type="paragraph" w:styleId="1299" w:customStyle="1">
    <w:name w:val="Таблицы (моноширинный)"/>
    <w:basedOn w:val="940"/>
    <w:next w:val="940"/>
    <w:uiPriority w:val="99"/>
    <w:rPr>
      <w:rFonts w:ascii="Courier New" w:hAnsi="Courier New" w:eastAsia="Calibri" w:cs="Courier New"/>
      <w:lang w:eastAsia="en-US"/>
    </w:rPr>
  </w:style>
  <w:style w:type="character" w:styleId="1300" w:customStyle="1">
    <w:name w:val="Пункт Знак1"/>
    <w:link w:val="1126"/>
    <w:rPr>
      <w:sz w:val="28"/>
      <w:lang w:val="en-US" w:eastAsia="en-US"/>
    </w:rPr>
  </w:style>
  <w:style w:type="paragraph" w:styleId="1301" w:customStyle="1">
    <w:name w:val="Пункт-3"/>
    <w:basedOn w:val="940"/>
    <w:link w:val="1302"/>
    <w:pPr>
      <w:jc w:val="both"/>
      <w:tabs>
        <w:tab w:val="num" w:pos="1418" w:leader="none"/>
      </w:tabs>
    </w:pPr>
    <w:rPr>
      <w:sz w:val="28"/>
      <w:szCs w:val="20"/>
      <w:lang w:val="en-US" w:eastAsia="en-US"/>
    </w:rPr>
  </w:style>
  <w:style w:type="character" w:styleId="1302" w:customStyle="1">
    <w:name w:val="Пункт-3 Знак"/>
    <w:link w:val="1301"/>
    <w:rPr>
      <w:sz w:val="28"/>
    </w:rPr>
  </w:style>
  <w:style w:type="character" w:styleId="1303" w:customStyle="1">
    <w:name w:val="Основной текст (3)_"/>
    <w:link w:val="1304"/>
    <w:rPr>
      <w:b/>
      <w:bCs/>
      <w:shd w:val="clear" w:color="auto" w:fill="ffffff"/>
    </w:rPr>
  </w:style>
  <w:style w:type="paragraph" w:styleId="1304" w:customStyle="1">
    <w:name w:val="Основной текст (3)"/>
    <w:basedOn w:val="940"/>
    <w:link w:val="1303"/>
    <w:pPr>
      <w:ind w:firstLine="709"/>
      <w:jc w:val="center"/>
      <w:spacing w:line="274" w:lineRule="exact"/>
      <w:shd w:val="clear" w:color="auto" w:fill="ffffff"/>
      <w:widowControl w:val="off"/>
    </w:pPr>
    <w:rPr>
      <w:b/>
      <w:bCs/>
      <w:sz w:val="20"/>
      <w:szCs w:val="20"/>
      <w:lang w:val="en-US" w:eastAsia="en-US"/>
    </w:rPr>
  </w:style>
  <w:style w:type="paragraph" w:styleId="1305" w:customStyle="1">
    <w:name w:val="Пункт-4"/>
    <w:basedOn w:val="940"/>
    <w:pPr>
      <w:ind w:left="643" w:hanging="360"/>
      <w:jc w:val="both"/>
      <w:tabs>
        <w:tab w:val="num" w:pos="643" w:leader="none"/>
      </w:tabs>
    </w:pPr>
    <w:rPr>
      <w:sz w:val="28"/>
      <w:szCs w:val="20"/>
    </w:rPr>
  </w:style>
  <w:style w:type="character" w:styleId="1306" w:customStyle="1">
    <w:name w:val="комментарий"/>
    <w:uiPriority w:val="99"/>
    <w:rPr>
      <w:i/>
      <w:u w:val="none"/>
      <w:shd w:val="clear" w:color="auto" w:fill="ffff99"/>
    </w:rPr>
  </w:style>
  <w:style w:type="paragraph" w:styleId="1307">
    <w:name w:val="Revision"/>
    <w:hidden/>
    <w:uiPriority w:val="99"/>
    <w:semiHidden/>
    <w:rPr>
      <w:sz w:val="24"/>
      <w:szCs w:val="24"/>
      <w:lang w:eastAsia="ru-RU"/>
    </w:rPr>
  </w:style>
  <w:style w:type="paragraph" w:styleId="1308" w:customStyle="1">
    <w:name w:val="Ариал"/>
    <w:basedOn w:val="940"/>
    <w:link w:val="1309"/>
    <w:pPr>
      <w:ind w:firstLine="851"/>
      <w:jc w:val="both"/>
      <w:spacing w:before="120" w:after="120" w:line="360" w:lineRule="auto"/>
    </w:pPr>
    <w:rPr>
      <w:rFonts w:ascii="Arial" w:hAnsi="Arial"/>
      <w:szCs w:val="20"/>
      <w:lang w:val="en-US" w:eastAsia="en-US"/>
    </w:rPr>
  </w:style>
  <w:style w:type="character" w:styleId="1309" w:customStyle="1">
    <w:name w:val="Ариал Знак1"/>
    <w:link w:val="1308"/>
    <w:rPr>
      <w:rFonts w:ascii="Arial" w:hAnsi="Arial"/>
      <w:sz w:val="24"/>
      <w:lang w:val="en-US" w:eastAsia="en-US"/>
    </w:rPr>
  </w:style>
  <w:style w:type="paragraph" w:styleId="1310" w:customStyle="1">
    <w:name w:val="Цитата1"/>
    <w:basedOn w:val="940"/>
    <w:uiPriority w:val="99"/>
    <w:pPr>
      <w:ind w:left="34" w:right="32" w:firstLine="595"/>
      <w:jc w:val="both"/>
      <w:spacing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311" w:customStyle="1">
    <w:name w:val="Times 12"/>
    <w:basedOn w:val="940"/>
    <w:pPr>
      <w:ind w:firstLine="567"/>
      <w:jc w:val="both"/>
    </w:pPr>
    <w:rPr>
      <w:bCs/>
      <w:szCs w:val="22"/>
    </w:rPr>
  </w:style>
  <w:style w:type="paragraph" w:styleId="1312" w:customStyle="1">
    <w:name w:val="МРСК_нумерованный_список"/>
    <w:basedOn w:val="1137"/>
    <w:qFormat/>
    <w:pPr>
      <w:numPr>
        <w:ilvl w:val="0"/>
        <w:numId w:val="20"/>
      </w:numPr>
      <w:ind w:left="786" w:hanging="360"/>
      <w:keepNext/>
      <w:spacing w:before="0" w:line="300" w:lineRule="auto"/>
      <w:tabs>
        <w:tab w:val="num" w:pos="360" w:leader="none"/>
      </w:tabs>
    </w:pPr>
    <w:rPr>
      <w:sz w:val="24"/>
      <w:lang w:val="en-US" w:eastAsia="en-US"/>
    </w:rPr>
  </w:style>
  <w:style w:type="character" w:styleId="1313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314" w:customStyle="1">
    <w:name w:val="Пункт б/н"/>
    <w:basedOn w:val="940"/>
    <w:pPr>
      <w:ind w:firstLine="567"/>
      <w:jc w:val="both"/>
      <w:spacing w:line="360" w:lineRule="auto"/>
      <w:tabs>
        <w:tab w:val="left" w:pos="1134" w:leader="none"/>
      </w:tabs>
    </w:pPr>
    <w:rPr>
      <w:bCs/>
      <w:sz w:val="22"/>
      <w:szCs w:val="22"/>
    </w:rPr>
  </w:style>
  <w:style w:type="paragraph" w:styleId="1315" w:customStyle="1">
    <w:name w:val="_Маркер (номер) - с заголовком"/>
    <w:pPr>
      <w:spacing w:before="240" w:after="60"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b/>
      <w:bCs/>
      <w:sz w:val="24"/>
      <w:lang w:eastAsia="ru-RU"/>
    </w:rPr>
  </w:style>
  <w:style w:type="character" w:styleId="1316" w:customStyle="1">
    <w:name w:val="Нет"/>
  </w:style>
  <w:style w:type="character" w:styleId="1317" w:customStyle="1">
    <w:name w:val="Hyperlink.0"/>
    <w:basedOn w:val="1316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hyperlink" Target="https://www.rosseti-sib.ru/" TargetMode="External"/><Relationship Id="rId15" Type="http://schemas.openxmlformats.org/officeDocument/2006/relationships/hyperlink" Target="https://rmsp.nalog.ru/" TargetMode="External"/><Relationship Id="rId16" Type="http://schemas.openxmlformats.org/officeDocument/2006/relationships/hyperlink" Target="https://npd.nalog.ru/check-status/" TargetMode="External"/><Relationship Id="rId17" Type="http://schemas.openxmlformats.org/officeDocument/2006/relationships/hyperlink" Target="http://www.zakupki.gov.ru" TargetMode="External"/><Relationship Id="rId18" Type="http://schemas.openxmlformats.org/officeDocument/2006/relationships/hyperlink" Target="http://www.cbr.ru/credit/" TargetMode="External"/><Relationship Id="rId19" Type="http://schemas.openxmlformats.org/officeDocument/2006/relationships/hyperlink" Target="consultantplus://offline/ref=B7E04B8F5BC345C22463EADCAE81D93CF0C11310A0643D58FEE589F49Ff2C9L" TargetMode="External"/><Relationship Id="rId20" Type="http://schemas.openxmlformats.org/officeDocument/2006/relationships/hyperlink" Target="consultantplus://offline/ref=B7E04B8F5BC345C22463EADCAE81D93CF0C11310A0643D58FEE589F49Ff2C9L" TargetMode="External"/><Relationship Id="rId21" Type="http://schemas.openxmlformats.org/officeDocument/2006/relationships/hyperlink" Target="consultantplus://offline/ref=B7E04B8F5BC345C22463EADCAE81D93CF4CA1215A36F6052F6BC85F6f9C8L" TargetMode="External"/><Relationship Id="rId22" Type="http://schemas.openxmlformats.org/officeDocument/2006/relationships/hyperlink" Target="https://www.mrsk-sib.ru/index.php?option=com_content&amp;view=category&amp;layout=blog&amp;id=2863&amp;Itemid=4101&amp;lang=ru40" TargetMode="External"/><Relationship Id="rId23" Type="http://schemas.openxmlformats.org/officeDocument/2006/relationships/image" Target="media/image1.wmf"/><Relationship Id="rId24" Type="http://schemas.openxmlformats.org/officeDocument/2006/relationships/oleObject" Target="embeddings/maskFile.bin"/><Relationship Id="rId25" Type="http://schemas.openxmlformats.org/officeDocument/2006/relationships/image" Target="media/image2.wmf"/><Relationship Id="rId26" Type="http://schemas.openxmlformats.org/officeDocument/2006/relationships/oleObject" Target="embeddings/maskFile.bin"/><Relationship Id="rId27" Type="http://schemas.openxmlformats.org/officeDocument/2006/relationships/image" Target="media/image3.wmf"/><Relationship Id="rId28" Type="http://schemas.openxmlformats.org/officeDocument/2006/relationships/oleObject" Target="embeddings/maskFile.bin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ОАО "МРСК Северо-Запада"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revision>567</cp:revision>
  <dcterms:created xsi:type="dcterms:W3CDTF">2019-09-12T08:30:00Z</dcterms:created>
  <dcterms:modified xsi:type="dcterms:W3CDTF">2025-11-30T07:46:03Z</dcterms:modified>
  <cp:version>1048576</cp:version>
</cp:coreProperties>
</file>